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6C" w:rsidRPr="002D47EB" w:rsidRDefault="00D20B6C" w:rsidP="00887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t>7</w:t>
      </w:r>
    </w:p>
    <w:p w:rsidR="00D20B6C" w:rsidRPr="002D47EB" w:rsidRDefault="00D20B6C" w:rsidP="00887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t>MORNING AND EVENING</w:t>
      </w:r>
      <w:r w:rsidR="00887151" w:rsidRPr="002D47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t>PRAYERS IN EARLY ISLAM</w:t>
      </w:r>
    </w:p>
    <w:p w:rsidR="00D20B6C" w:rsidRPr="002D47EB" w:rsidRDefault="00D20B6C" w:rsidP="00887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Uri Rubin</w:t>
      </w:r>
    </w:p>
    <w:p w:rsidR="00D20B6C" w:rsidRPr="002D47EB" w:rsidRDefault="00D20B6C" w:rsidP="00887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To my teacher, Prof. M.J. Kister,</w:t>
      </w:r>
    </w:p>
    <w:p w:rsidR="00D20B6C" w:rsidRPr="002D47EB" w:rsidRDefault="00D20B6C" w:rsidP="00887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on his seventieth birthday.</w:t>
      </w:r>
    </w:p>
    <w:p w:rsidR="00887151" w:rsidRPr="002D47EB" w:rsidRDefault="00887151" w:rsidP="00887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</w:p>
    <w:p w:rsidR="00887151" w:rsidRPr="002D47EB" w:rsidRDefault="00887151" w:rsidP="00E3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Preface</w:t>
      </w:r>
    </w:p>
    <w:p w:rsidR="00887151" w:rsidRPr="002D47EB" w:rsidRDefault="00887151" w:rsidP="00887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Western scholars have already noticed that according to Muslim sources,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before the five daily prayers became part of the "pillars" of Islam, the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Muslims used to pray only twice a day. Goldziher states that "before the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duty of 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rayer was extended to five times a day, the Muslims are said to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have observed only two canonical times of prayer: morning and afternoon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... ".</w:t>
      </w:r>
      <w:r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Other scholars, like Mittwoch, for instance, who studied the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evidence of Muslim sources, 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aintained that the first two prayers which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Muslims reportedly used to pray daily were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</w:t>
      </w:r>
      <w:r w:rsidR="00036344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t al-fajr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(before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sunrise), and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 al-'ish</w:t>
      </w:r>
      <w:r w:rsidR="00036344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'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(after sunset).</w:t>
      </w:r>
      <w:r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2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In the present study various reports and traditions are examined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may give us a better insight into the evidence of Muslim sources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concerning the first times of prayer in Islam, their special significance, and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their position in relation to other times of prayer.</w:t>
      </w:r>
    </w:p>
    <w:p w:rsidR="00887151" w:rsidRPr="002D47EB" w:rsidRDefault="00887151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</w:p>
    <w:p w:rsidR="00887151" w:rsidRPr="002D47EB" w:rsidRDefault="00887151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</w:p>
    <w:p w:rsidR="00D20B6C" w:rsidRPr="002D47EB" w:rsidRDefault="00D20B6C" w:rsidP="008871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07"/>
        <w:jc w:val="center"/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Ṣalāt al-ḍuḥ</w:t>
      </w:r>
      <w:r w:rsidR="00036344" w:rsidRPr="002D47EB"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lang w:val="en-US"/>
        </w:rPr>
        <w:t>ā</w:t>
      </w:r>
    </w:p>
    <w:p w:rsidR="00887151" w:rsidRPr="002D47EB" w:rsidRDefault="00887151" w:rsidP="00887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lang w:val="en-US"/>
        </w:rPr>
      </w:pPr>
    </w:p>
    <w:p w:rsidR="00887151" w:rsidRPr="002D47EB" w:rsidRDefault="00887151" w:rsidP="00887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</w:pP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A. The first report to be examined was recorded on the authority of al</w:t>
      </w:r>
      <w:r w:rsidR="00036344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-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</w:t>
      </w:r>
      <w:r w:rsidR="00036344" w:rsidRPr="002D47EB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>ā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qid</w:t>
      </w:r>
      <w:r w:rsidR="00036344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ī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(d. 207H/823), by al-Bal</w:t>
      </w:r>
      <w:r w:rsidR="00036344" w:rsidRPr="002D47EB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>ā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dhur</w:t>
      </w:r>
      <w:r w:rsidR="00036344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ī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(d. 279H/892).</w:t>
      </w:r>
      <w:r w:rsidR="00036344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3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This report was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quoted from al-</w:t>
      </w:r>
      <w:r w:rsidR="00036344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Bal</w:t>
      </w:r>
      <w:r w:rsidR="00036344" w:rsidRPr="002D47EB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>ā</w:t>
      </w:r>
      <w:r w:rsidR="00036344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dhurī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by Ibn </w:t>
      </w:r>
      <w:r w:rsidR="00036344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Ḥajar,</w:t>
      </w:r>
      <w:r w:rsidR="00036344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4"/>
      </w:r>
      <w:r w:rsidR="00036344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it was also reproduced by </w:t>
      </w:r>
      <w:r w:rsidR="00036344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al-Maqrīzī,</w:t>
      </w:r>
      <w:r w:rsidR="00036344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5"/>
      </w:r>
      <w:r w:rsidR="00036344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who in turn was quoted by al-</w:t>
      </w:r>
      <w:r w:rsidR="00036344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Ḥ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alab</w:t>
      </w:r>
      <w:r w:rsidR="00036344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ī.</w:t>
      </w:r>
      <w:r w:rsidR="00DE02D1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6"/>
      </w:r>
      <w:r w:rsidR="008A038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most coherent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036344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version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of this report of </w:t>
      </w:r>
      <w:r w:rsidR="00036344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al-W</w:t>
      </w:r>
      <w:r w:rsidR="00036344" w:rsidRPr="002D47EB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>ā</w:t>
      </w:r>
      <w:r w:rsidR="00036344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qidī</w:t>
      </w:r>
      <w:r w:rsidR="008A038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is that of al-</w:t>
      </w:r>
      <w:r w:rsidR="00036344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Maqrīzī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 It reads:</w:t>
      </w:r>
    </w:p>
    <w:p w:rsidR="00D20B6C" w:rsidRPr="002D47EB" w:rsidRDefault="00D20B6C" w:rsidP="00E33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wa-k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na 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salla ll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ahu 'a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layhi wa-sal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lama yakhruju ila 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-ka'bati awwala 1-nahari</w:t>
      </w:r>
      <w:r w:rsidR="00E33F5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fa- yusall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i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l-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 wa-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kāna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 .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an la tunkiruha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Quraysh. w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a-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kāna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idha</w:t>
      </w:r>
      <w:r w:rsidR="00E33F5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salla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fi sa'iri l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-yawmi ba'da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dhalika qa'ada 'Ali aw Zayd rad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iya llahu 'anhuma</w:t>
      </w:r>
      <w:r w:rsidR="00E33F5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yarsudanihi. wa-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kāna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sal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la ll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ahu 'a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layhi wa-ashabuhu idha ja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'a waqtu 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l-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’aṣr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i</w:t>
      </w:r>
      <w:r w:rsidR="00E33F5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tafarraqu 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fi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-shi'abi furada wa-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mathna. wa-kanu yusalluna 1-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wa-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l-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’aṣr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a.</w:t>
      </w:r>
      <w:r w:rsidR="00E33F5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thumma nazal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ati 1-.salawatu 1-khamsu. wa-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kāna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ti 1-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u rak'atayni qabla 1-hijrati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...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Prophet used to go out to the Ka'ba at the beginning of the day and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perform the 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prayer. It was a prayer with which Quraysh did not find any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fault. When he afterwards prayed during the rest of the day, 'Ali and Zayd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used to sit and keep guard on him. When it was the time of</w:t>
      </w:r>
      <w:r w:rsidR="004A6C12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‘aṣr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Prophet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 his companions would scatter in the ravines, one by one and in pairs; they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used to pray (the prayers of) the 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887151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‘aṣr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Afterwards the five prayers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were enjoined on them. Before the Hijra, each prayer consisted of two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rak'as ...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This passage implies that the first times of prayer observed by the Muslims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before the introduction of the five daily prayers were the 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887151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‘aṣr</w:t>
      </w:r>
      <w:r w:rsidR="004A6C12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.</w:t>
      </w:r>
      <w:r w:rsidR="00552CEE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These times deserve a special examination. The term 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occurs several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times in the Quran, but its basic meaning is indicated in one verse only,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91</w:t>
      </w:r>
      <w:r w:rsidR="008A038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/</w:t>
      </w:r>
      <w:r w:rsidR="004A6C12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1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: 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wa-l-shamsi wa-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ha.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In this Quranic oath, 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="008A038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means the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brightness of the sun, or simply, daylight. In other cases the term 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="00DE02D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appears indeed in contrast to the term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lay/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(113/1; 79/29). But 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="00552CEE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meaning the brightness of the sun could be, and indeed was, restricted to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that part of the day when the brightness of the sun first appears. In Quran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7</w:t>
      </w:r>
      <w:r w:rsidR="004A6C12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9/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46, 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occurs in juxtaposition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lastRenderedPageBreak/>
        <w:t xml:space="preserve">with 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ashiyya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(evening), which means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that the former signifies the first part of the day, or as put in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Tafsir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of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Muqatil: .. the first hour of daylight following sunrise'.</w:t>
      </w:r>
      <w:r w:rsidR="00887151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7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In view of this, it is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clear that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DE02D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the first Muslims reportedly practiced, was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performed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in the morning, shortly after sunrise.</w:t>
      </w:r>
      <w:r w:rsidR="00887151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8"/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term 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also occurs in a Quranic oath (103/1), is explained as "the last hour of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da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y .. when I he sun sinks towards setting".</w:t>
      </w:r>
      <w:r w:rsidR="00887151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9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In fact, the term </w:t>
      </w:r>
      <w:r w:rsidR="00A7651A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‘asr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is almost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ide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ntical with the term </w:t>
      </w:r>
      <w:r w:rsidR="00A7651A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‘ashiyy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(evening) which occurs quite often in the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Q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uran. The latter is 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explained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by Muslim commentators as 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'a</w:t>
      </w:r>
      <w:r w:rsidR="00A7651A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s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</w:t>
      </w:r>
      <w:r w:rsidR="00E05C8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0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It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follows that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A7651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-al-‘asr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an evening prayer performed shortly before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sunset.</w:t>
      </w:r>
      <w:r w:rsidR="00A7651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1"/>
      </w:r>
    </w:p>
    <w:p w:rsidR="00D20B6C" w:rsidRPr="002D47EB" w:rsidRDefault="00DE02D1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above passage of al-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Wāqidī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points to a decisive difference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between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A7651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-al-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A7651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-al’asr.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former did not arouse any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objection on the part of 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Quraysh, and therefore </w:t>
      </w:r>
      <w:r w:rsidR="002612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 could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practice it openly near the Ka'ba. The latter prayer, however, seems to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have been very provoking to the Quraysh, so that the Muslims were forced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'to practice it secretly in the ravines of Mecca. The reason why the Muslims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were not hindered from praying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near the Ka'ba seems, at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first sight, to be connected with the fact that the Quraysh themselves were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used to practicing various religious rites in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some of which were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closely associated with the cult of the Ka'ba. The most notable of these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rites was the circumambulation </w:t>
      </w:r>
      <w:r w:rsidR="00A7651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(tawaf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)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of the Ka'ba, which included also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touching of the Black Stone. In an early verse attributed to Abu Talib,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it is stated that the worshippers used to touch the Black Stone and gather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around it in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as well as in the evenings.</w:t>
      </w:r>
      <w:r w:rsidR="00A7651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2"/>
      </w:r>
      <w:r w:rsidR="008A038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Other rituals of the 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Hajj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in general also took place in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.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ceremonies of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Yawm al-Na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hr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were observed at Mina on the tenth of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Dhu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l-Hijj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 were focused on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slaughter of sacrificial animals during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of that day. This act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was signified by the verb 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dahha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originally meant: to perform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sacrificial slaughter in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of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Yawm al-Na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hr.</w:t>
      </w:r>
      <w:r w:rsidR="00A7651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3"/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On the same day, the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worshippers used to throw pebbles at the three 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Jamras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in Mi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na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 This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ritual as well was performed during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A7651A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14"/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ifa</w:t>
      </w:r>
      <w:r w:rsidR="00A7651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d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from Muzdalifa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to Mina was also performed in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.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It is reported that in the morning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of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Yawm al-Na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r, the pilgrims used to ascend the mountain of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Quza</w:t>
      </w:r>
      <w:r w:rsidR="00A7651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in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Muzdalifa, and when they saw the first rays of the rising sun they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commenced the 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ifa</w:t>
      </w:r>
      <w:r w:rsidR="00A7651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d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</w:t>
      </w:r>
      <w:r w:rsidR="00A7651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A7651A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15"/>
      </w:r>
    </w:p>
    <w:p w:rsidR="00552CEE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time of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i.e., that part of</w:t>
      </w:r>
      <w:r w:rsidR="0000753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day immediately following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sunrise, functioned as a time of ritual practices not only among </w:t>
      </w:r>
      <w:r w:rsidR="00007536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the</w:t>
      </w:r>
      <w:r w:rsidR="00552CEE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Meccans and the pilgrims, but also among those pious monotheistic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persons who were active in Arabia already in pre-Islamic times. One of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them was Abu Qays Sirma b. Abi Anas who, 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eportedly, abandoned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idolatry and led an ascetic life. One of the verses attributed to him runs as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E05C8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follows:</w:t>
      </w:r>
      <w:r w:rsidR="00E05C8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6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sabbihu 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</w:t>
      </w:r>
      <w:r w:rsidR="00E05C8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laha sharqa kulli sabahin</w:t>
      </w:r>
    </w:p>
    <w:p w:rsidR="00D20B6C" w:rsidRPr="002D47EB" w:rsidRDefault="00E05C88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tala’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at shamsuhu wa-kulla hila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ī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Praise Allah </w:t>
      </w:r>
      <w:r w:rsidR="0000753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at the breaking of each morning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whose sun has risen, and at the rising of each moon.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These reports which illustrate the ritual significance of the time of the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in pre-Islamic times could </w:t>
      </w:r>
      <w:r w:rsidR="0000753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explain why the Quraysh let Muh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 freely near the Ka'ba in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But, as 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lastRenderedPageBreak/>
        <w:t>matter of fact, the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Quraysh were also used to performing various rituals in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for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instance the </w:t>
      </w:r>
      <w:r w:rsidR="008F750E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ifada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to Muzdalifa which took place when the setting sun was</w:t>
      </w:r>
      <w:r w:rsidR="00552CE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E05C8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very close to the horizon.</w:t>
      </w:r>
      <w:r w:rsidR="00E05C8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7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In spite of this, they did not let the Muslims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 freely in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It seems, therefore, that the reason why the Quraysh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put up with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8F750E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must be connected with something in the very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nature of the prayer itself, which made it so distinct from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In fact,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E05C8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a typical Arab way of worship. This is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indicated in a series of reports implying that in the first </w:t>
      </w:r>
      <w:r w:rsidR="008F750E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decade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of Islam,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in vogue especially among the Arabs, or rather among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Bedouins. One of these reports relates that the first Muslim who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prayed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prayer was a </w:t>
      </w:r>
      <w:r w:rsidR="00E05C8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sahabī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E05C8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called Dhu l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-Zawa'id, or Abu 1-Zawa'</w:t>
      </w:r>
      <w:r w:rsidR="00E05C8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id, from the tribe of Juhayna.</w:t>
      </w:r>
      <w:r w:rsidR="00E05C8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8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Another report was recorded by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E05C8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'Abd al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-Razzaq</w:t>
      </w:r>
      <w:r w:rsidR="00E05C8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(d. 211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H/827) on the</w:t>
      </w:r>
      <w:r w:rsidR="00E05C8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authority of Ibn Jurayj (d. l50H/767). It reads:</w:t>
      </w:r>
      <w:r w:rsidR="00E05C8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9"/>
      </w:r>
    </w:p>
    <w:p w:rsidR="00D20B6C" w:rsidRPr="002D47EB" w:rsidRDefault="00E05C88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'Abd al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-Razzaq 'an Ibn Jurayj, qa</w:t>
      </w:r>
      <w:r w:rsidR="004A6C1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a:. akhbarani Sulayman ayd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an annahu</w:t>
      </w:r>
    </w:p>
    <w:p w:rsidR="00D20B6C" w:rsidRPr="002D47EB" w:rsidRDefault="00E05C88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sami'a Ta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wus yaq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u</w:t>
      </w:r>
      <w:r w:rsidR="00464F77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l: inn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 awwala man sa</w:t>
      </w:r>
      <w:r w:rsidR="00464F77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llaha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1-a 'rabu. idha ba 'a </w:t>
      </w:r>
      <w:r w:rsidR="00464F77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aha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duhum</w:t>
      </w:r>
    </w:p>
    <w:p w:rsidR="00D20B6C" w:rsidRPr="002D47EB" w:rsidRDefault="00464F77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hida’atan ya-tī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1-masjida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fa-yukabbiru wa-yasjudu, illa anna Tawus yaqul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:</w:t>
      </w:r>
    </w:p>
    <w:p w:rsidR="00D20B6C" w:rsidRPr="002D47EB" w:rsidRDefault="00464F77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allahu akb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ar, allahu akhar, al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ahu akbar, thumma yasjudu 1-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a’rabī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</w:p>
    <w:p w:rsidR="00D20B6C" w:rsidRPr="002D47EB" w:rsidRDefault="00464F77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'Ab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 al-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Razzaq from lb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n Jurayj. He said: Sulayman also informed me that 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had 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ear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d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Ta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wus saying: The first who prayed it (i.e. the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D20B6C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prayer) were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doui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ns.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When one of them sold 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co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mmodity he would come to the mosque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say: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allah akbar,</w:t>
      </w:r>
      <w:r w:rsidRPr="002D47EB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 xml:space="preserve"> and perform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sujud</w:t>
      </w:r>
      <w:r w:rsidRPr="002D47EB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 xml:space="preserve"> (prostration). But Tawus said: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(the Bedouin used to say:) 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allah akbar, allah akbar, allah akbar,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 then 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would perform the 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sujud.</w:t>
      </w:r>
      <w:r w:rsidR="002247EF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'Abd al-Razzaq has also recorded a shorter version of the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same account:</w:t>
      </w:r>
      <w:r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20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... qala Ibn Jur</w:t>
      </w:r>
      <w:r w:rsidR="00464F77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ayj: wa-qala nasun: awwalu man s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allaha ahlu 1-bawadi, yadkhuluna</w:t>
      </w:r>
    </w:p>
    <w:p w:rsidR="00D20B6C" w:rsidRPr="002D47EB" w:rsidRDefault="00464F77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1-masjida idha faraghu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min aswaqihim.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Ibn Jurayj said: Some people said: The first who prayed it (i.e. the</w:t>
      </w:r>
      <w:r w:rsidR="00464F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prayer)</w:t>
      </w:r>
    </w:p>
    <w:p w:rsidR="00D20B6C" w:rsidRPr="002D47EB" w:rsidRDefault="00464F77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were the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dwellers of the desert. They used to enter the mosque when they had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finished their fairs.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These reports indicate that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a thanksgiving ceremony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the Bedouins used to observe whenever they succeeded in selling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their wares in the markets. In fact, religious rites had been closely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associated with Arab commercial life since pre-Islamic times, especially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during the 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ajj and the 'Umra. It may even be supposed that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</w:t>
      </w:r>
      <w:r w:rsidR="002C3580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="002247EF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itself had been practiced by the Bedouins since pre-Islamic times which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explains why they, of all Muslims, adhered to it at the beginning of Islam.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fact that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essentially connected with the Arab trade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leads to the conclusion that this kind of devotional practice was well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known to the Quraysh, the leading tradesmen of Arabia. Thus, the reason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why the Quraysh let Muh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 practice it openly becomes self-evident.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Prophet appears to have merely adopted a pre-Islamic Arab practice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for him was a natural way of expressing his own gratitude and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devotion to Allah.</w:t>
      </w:r>
    </w:p>
    <w:p w:rsidR="00D20B6C" w:rsidRPr="002D47EB" w:rsidRDefault="005112D2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as performed by the Bedouins consisted mainly in 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takbir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2C3580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suju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d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. This fact is most significant; the </w:t>
      </w:r>
      <w:r w:rsidR="002C3580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suju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d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is a characteristic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gesture of obedience and gratitude, and in view of the above reports it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seems that it was far more common among the Bedouins than is usually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ad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mitted in the Muslim sources.</w:t>
      </w:r>
      <w:r w:rsidR="002C3580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21"/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</w:t>
      </w:r>
      <w:r w:rsidR="002C3580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-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preserved its basic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significance as a thanksgiving ritual during the first decades of Islam.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There is evidence that 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 used to perform it following great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victories over his enemies. For in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stance, when Abu Jahl was killed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(in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Badr), 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ammad reportedly prayed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prayer.</w:t>
      </w:r>
      <w:r w:rsidR="002C3580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22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Most current ar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traditions of Umm Hani' about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yed on the conquest of Mecca.</w:t>
      </w:r>
      <w:r w:rsidR="002C3580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23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lastRenderedPageBreak/>
        <w:t>The same prayer was performed as a token of gratitude for water and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food. Once, when Muh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 managed to provide a whole army of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Muslims with water in a miraculous way, he prayed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="002C3580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2C3580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24"/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Another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report relates that the Prophet had a special bowl </w:t>
      </w:r>
      <w:r w:rsidR="002C3580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(qas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'a),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was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carried by four persons. The companions of the Prophet used to eat from it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after having performed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sujud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of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2C3580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25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B.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Many Muslim traditions reflect the idea that prayers performed during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sunrise or sunset are reprehensible because these were the hours when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idolaters used to prostrate themselves to the sun. The traditions condemning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prayers during these parts of the day stress that when the sun rises or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sets it is clasped betwe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en the two horns of the devil.</w:t>
      </w:r>
      <w:r w:rsidR="002C3580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26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·aversion to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ritual acts 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at sunrise or sunset</w:t>
      </w:r>
      <w:r w:rsidR="002C3580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27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seems to date back to the days of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Prophet himself. Shortly before his death, 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 made some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changes in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ifa</w:t>
      </w:r>
      <w:r w:rsidR="002C3580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d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were designed to remove all traces of sunworship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from this ritual. It is reported that during his last pilgrimage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</w:t>
      </w:r>
      <w:r w:rsidR="002C3580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haj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jat al-wad</w:t>
      </w:r>
      <w:r w:rsidR="002C3580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),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ammad ordered that the </w:t>
      </w:r>
      <w:r w:rsidR="002C3580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ifad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from 'Arafa to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uzdalifa be performed after sunset and not during sunset, and that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C3580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ifad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from Muzdalifa to Mi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na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be performed before sunrise and not during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sunrise.</w:t>
      </w:r>
      <w:r w:rsidR="002C3580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28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This attitude towards the hours of sunrise and sunset had direct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bearings on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;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in fact, in the first decades after 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ammad's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death there were several pious Muslims who wished to suppress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2247EF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altogether, declaring it to be unlawful. This is demonstrated in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story about Mujahid and 'Urwa b. al-Zubayr who once entered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mosque of Medina and saw the people praying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They asked Ibn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‘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Umar, who was sitting there, about it, and he said: "'It is an innovation"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C3580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(bid’a).</w:t>
      </w:r>
      <w:r w:rsidR="002C3580" w:rsidRPr="002D47EB">
        <w:rPr>
          <w:rStyle w:val="FootnoteReference"/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footnoteReference w:id="29"/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same 'Abdallah b. 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‘Umar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is also reported to have stated: "I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have never </w:t>
      </w:r>
      <w:r w:rsidR="002C3580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pr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ayed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since I embraced Islam".</w:t>
      </w:r>
      <w:r w:rsidR="002C3580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30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He also declared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that he had never seen the Prophet .Praying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,</w:t>
      </w:r>
      <w:r w:rsidR="002C3580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31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nor had he seen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‘U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mar and Ab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 Bakr doing it.</w:t>
      </w:r>
      <w:r w:rsidR="002C3580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32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same attitude. towards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="002247EF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prayer was shared by other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sa</w:t>
      </w:r>
      <w:r w:rsidR="00BB1330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ha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ba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as well. When Anas b. Malik was asked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about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he stated: "</w:t>
      </w:r>
      <w:r w:rsidR="00BB133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prayers are (only) five".</w:t>
      </w:r>
      <w:r w:rsidR="00BB1330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33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Abu Bakr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BB133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once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saw people praying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 he as well told them that they were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praying something which the Prophet and his companions had never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BB133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prayed.</w:t>
      </w:r>
      <w:r w:rsidR="00BB1330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34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Likewise, it is related that </w:t>
      </w:r>
      <w:r w:rsidR="00BB133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‘Abdallah b. Mas'u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 never prayed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Instead, he used to pray between the </w:t>
      </w:r>
      <w:r w:rsidR="00BB133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zu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hr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prayers, apart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BB133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from night vigils.</w:t>
      </w:r>
      <w:r w:rsidR="00BB1330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35"/>
      </w:r>
    </w:p>
    <w:p w:rsidR="00D20B6C" w:rsidRPr="002D47EB" w:rsidRDefault="00D20B6C" w:rsidP="00887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Those theologians who objected to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al</w:t>
      </w:r>
      <w:r w:rsidR="00BB1330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had to produce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proper explanations for the above-mentioned reports implying that the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Prophet had prayed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main line of argumentation which was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eventually taken by these theologians was that 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 had never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prayed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regularly and intentionally; there were only some cases in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a prayer performed by 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 happened to coincide with the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time of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This line is reflected in a tradition relating that the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Prophet prayed in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only once, when he was visiting a certain Muslim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who asked the Prophet to pray at his house, and this happened to take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place in the</w:t>
      </w:r>
      <w:r w:rsidR="00BB133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</w:t>
      </w:r>
      <w:r w:rsidR="00BB1330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36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According to a tradition of</w:t>
      </w:r>
      <w:r w:rsidR="00BB133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A'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ishā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, the Prophet used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to pray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only upon returning to Medina from a journey;</w:t>
      </w:r>
      <w:r w:rsidR="008A038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BB133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hi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return always took place in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BB133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</w:t>
      </w:r>
      <w:r w:rsidR="00BB1330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37"/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Al-Zuhri, too, declared that the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Prophet had never prayed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lastRenderedPageBreak/>
        <w:t xml:space="preserve">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except on the conquest of Mecca, and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upon returning from a journey.</w:t>
      </w:r>
      <w:r w:rsidR="00BB1330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38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As for the conquest of Mecca, Mu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ammad's prayer on that occasion was explained by Muslim theologians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as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al-fath,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was performed also in later periods following the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conquest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(fat</w:t>
      </w:r>
      <w:r w:rsidR="00BB1330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h</w:t>
      </w:r>
      <w:r w:rsidR="00BB133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) of various places.</w:t>
      </w:r>
      <w:r w:rsidR="00BB1330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39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But the objection of Muslim theologians to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45346A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did not bring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about its disappearance. This prayer, like some other practices condemned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by pious theologians as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bid'a,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survived within the framework of a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whole system of rites which had their origin in pre-Islamic Arab practices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-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namely, the pilgrimage to Mecca. The cult of the Ka'ba had consisted,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since pre-Islamic times, of the 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awaf,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was practiced as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 part of this ritual.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survival of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45346A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as a part of the </w:t>
      </w:r>
      <w:r w:rsidR="0045346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awaf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is plainly attested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in a tradition about 'A'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ishā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who reportedly saw people performing the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45346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</w:t>
      </w:r>
      <w:r w:rsidRPr="002D47EB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>awaf</w:t>
      </w:r>
      <w:r w:rsidR="0045346A" w:rsidRPr="002D47EB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>around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Ka'ba, then awaiting sunrise in order to pray. She went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on stressing that they had prayed in the "hour when prayer is reprehensible"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(al-sa'atu 1</w:t>
      </w:r>
      <w:r w:rsidR="0045346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ati tukrahu</w:t>
      </w:r>
      <w:r w:rsidR="0045346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fiha 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45346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u</w:t>
      </w:r>
      <w:r w:rsidR="0045346A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).</w:t>
      </w:r>
      <w:r w:rsidR="0045346A" w:rsidRPr="002D47EB">
        <w:rPr>
          <w:rStyle w:val="FootnoteReference"/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footnoteReference w:id="40"/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custom of praying during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sunrise following the </w:t>
      </w:r>
      <w:r w:rsidR="0045346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awaf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seems to have been deeply rooted in the cult of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Ka'ba, so that Muslim theologians were eventually obliged to provide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it with an appropriate legal basis, in the form of a prophetic </w:t>
      </w:r>
      <w:r w:rsidR="0045346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hadith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hadi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th 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reads:</w:t>
      </w:r>
      <w:r w:rsidR="0045346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41"/>
      </w:r>
    </w:p>
    <w:p w:rsidR="00D20B6C" w:rsidRPr="002D47EB" w:rsidRDefault="0045346A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Children of ‘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Abd Manaf, do not hinder anyone who has circumambulated this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house (i.e. the Ka'ba) from praying at any hour one chooses, be it at night or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during the day.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Many pious Muslims indeed thought that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legitimate as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long as it was performed in Mecca as part of the </w:t>
      </w:r>
      <w:r w:rsidR="0045346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awaf.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Ibn 'Abbas is said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never to have prayed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except when he circumambulated the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Ka'ba.</w:t>
      </w:r>
      <w:r w:rsidR="0045346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42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'Abdallah b. 'Umar as well declared: "I have never prayed the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since I became a Muslim, except when I was circumambulating the</w:t>
      </w:r>
      <w:r w:rsidR="0088715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House".</w:t>
      </w:r>
      <w:r w:rsidR="0045346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43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Further traditions indicate that pious Muslims did not always confine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prayer to the </w:t>
      </w:r>
      <w:r w:rsidR="0045346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awaf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 There is evidence that some of them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practiced it also without the </w:t>
      </w:r>
      <w:r w:rsidR="0045346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awaf,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while being careful not to perform it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too frequently. Ibn ‘Abbas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, for instance, reportedly used to pray it once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every ten days,</w:t>
      </w:r>
      <w:r w:rsidR="0045346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44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and others as well us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ed to perform it occasionally.</w:t>
      </w:r>
      <w:r w:rsidR="0045346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45"/>
      </w:r>
    </w:p>
    <w:p w:rsidR="0045346A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Similarly, an irregular observance of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was attributed to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Prophet himself.</w:t>
      </w:r>
      <w:r w:rsidR="0045346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46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Some maintained that the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45346A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lawful,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provided that it was 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practiced privately at home.</w:t>
      </w:r>
      <w:r w:rsidR="0045346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47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In fact, however,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45346A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far too favoured to be practiced in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 limited fashion only. Traditions soon appeared in which the same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persons who had reportedly objected to it were now quoted as though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highly recommending it. The introduction of such traditions was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result of the special attachment with which this prayer was treated in large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</w:t>
      </w:r>
      <w:r w:rsidR="002612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ir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cles. 'A'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ishā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, for instance, was reported to have stated that she used to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perform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in spite of the fact that 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 had refrained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from it. She explained that 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ammad had not performed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="002247EF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only because of his wish to spare the believers the burden of this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prayer, in c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ase they followed his example.</w:t>
      </w:r>
      <w:r w:rsidR="0045346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48"/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'A'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ishā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also stated that she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would never give up this prayer, not even in return for the resurrection of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her parents.</w:t>
      </w:r>
      <w:r w:rsidR="0045346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49"/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Ibn 'Umar, to whom the definition of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45346A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as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bid'a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attributed (see above), was now quoted as having stated that the people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had never invented anything he liked more than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45346A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45346A" w:rsidRPr="002D47EB">
        <w:rPr>
          <w:rStyle w:val="FootnoteReference"/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footnoteReference w:id="50"/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or, that it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was a good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bid'a.</w:t>
      </w:r>
      <w:r w:rsidR="0045346A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51"/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'Ali b. Abi Talib was asked about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lastRenderedPageBreak/>
        <w:t>this prayer which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people had invented. He said: "Pray as much as you can because Allah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does not punish for praying".</w:t>
      </w:r>
      <w:r w:rsidR="0045346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52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Further traditions actually present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Prophet himself as prescribing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to some of his companions.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Abu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Hurayra is reported to have stated that the Prophet had told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him to perform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witr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before bedtime, to fast three days each month, and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to pray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prayer.</w:t>
      </w:r>
      <w:r w:rsidR="0045346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53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same prescription is said to have been given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45346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to Abu l-Darda.</w:t>
      </w:r>
      <w:r w:rsidR="0045346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54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In a further group of traditions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DF22A8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is presented as practiced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regularly by the Prophet himself. According to one tradition, the Prophet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used to pray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defining it as "a prayer of desire and fright"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raghba wa-rahba </w:t>
      </w:r>
      <w:r w:rsidR="00DF22A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).</w:t>
      </w:r>
      <w:r w:rsidR="00DF22A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55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'A'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ishā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is said to have stated that the Prophet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used to perform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prayer, sometimes with four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 and sometimes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with more.</w:t>
      </w:r>
      <w:r w:rsidR="00DF22A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56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According to another statement attributed to both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'A'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ishā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and Umm Salma, the Prophet used to pray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with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twelve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rak'as</w:t>
      </w:r>
      <w:r w:rsidR="00DF22A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DF22A8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57"/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Mujahid reports that the Prophet used to perform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prayer sometimes with two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rak'as, </w:t>
      </w:r>
      <w:r w:rsidR="00746346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sometime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 with four, six or eight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rak'as</w:t>
      </w:r>
      <w:r w:rsidR="00DF22A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DF22A8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58"/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According to Jabir b. 'Abdallah, the Prophet used to perform six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during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DF22A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="00DF22A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DF22A8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59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Such traditions about the Prophet were designed to rule out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above-mentioned traditions claiming that 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 had never performed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prayer. The only way left for those who still objected to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this prayer was to try and present it as one of 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ammad's exclusive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khasa'is.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In the following tradition 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 is reported to have stated: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"I was ordered to observe the two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of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but you (i.e.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Muslims) were </w:t>
      </w:r>
      <w:r w:rsidR="00DF22A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not ordered to observe it...".</w:t>
      </w:r>
      <w:r w:rsidR="00DF22A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60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But the partisans of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DF22A8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were not short of traditions of their own. In the following version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Prophet says: "Three things are incumbent upon me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as</w:t>
      </w:r>
      <w:r w:rsidR="00DF22A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fara'i</w:t>
      </w:r>
      <w:r w:rsidR="00DF22A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d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(obligatory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duties), and upon you as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tatawwuc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(voluntary act):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witr,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two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rak'as</w:t>
      </w:r>
      <w:r w:rsidR="002247EF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before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prayer, and the two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of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prayer".</w:t>
      </w:r>
      <w:r w:rsidR="00DF22A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61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In this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manner,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given a firm legal basis as a most recommended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F22A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tat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awwu</w:t>
      </w:r>
      <w:r w:rsidR="00DF22A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c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Shafi'is, in fact, considered it the best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tatawwuc</w:t>
      </w:r>
      <w:r w:rsidR="00DF22A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DF22A8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62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Moreover,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in a further tradition of the Prophet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is elevated to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rank of a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sunna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with respect to the believers, being a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fariqa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with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respect to 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="00DF22A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ammad.</w:t>
      </w:r>
      <w:r w:rsidR="00DF22A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63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exact number of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which had to be performed during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DF22A8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something about which Muslim scholars could never reach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agreement, and the variety of opinions is clearly reflected in traditions of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Prophet recommending different numbers of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Some traditions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recommend two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seems to be the original number. According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to one of these traditions, two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of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F22A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substitute for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duty of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sadaqa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is incumbent upon each knuckle of the human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body.</w:t>
      </w:r>
      <w:r w:rsidR="00DF22A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64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Another tradition states that he who prays two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when the sun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is opposite his face </w:t>
      </w:r>
      <w:r w:rsidR="00DF22A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(idha staqbalathu l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-shams), </w:t>
      </w:r>
      <w:r w:rsidR="00DF22A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his sins will be forgiven.</w:t>
      </w:r>
      <w:r w:rsidR="00DF22A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65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Other traditions recommend four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rak'a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s. The Prophet reportedly stated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that Allah had asserted that four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performed at the beginning of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F22A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day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substitute for four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 </w:t>
      </w:r>
      <w:r w:rsidR="00DF22A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at the end of the day.</w:t>
      </w:r>
      <w:r w:rsidR="00DF22A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66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"He who performs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prayer with four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rak'as"-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says the Prophet in another tradition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- "Allah will build</w:t>
      </w:r>
      <w:r w:rsidR="00DF22A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 house for him in paradise".</w:t>
      </w:r>
      <w:r w:rsidR="00DF22A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67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F22A8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“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He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who prays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with eight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will be written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lastRenderedPageBreak/>
        <w:t xml:space="preserve">among the repentants" 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–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says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another tradition.</w:t>
      </w:r>
      <w:r w:rsidR="00DF22A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68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 further tradition promises a golden palace in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paradise to those who perform twelve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during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DF22A8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DF22A8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.</w:t>
      </w:r>
      <w:r w:rsidR="00DF22A8" w:rsidRPr="002D47EB">
        <w:rPr>
          <w:rStyle w:val="FootnoteReference"/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footnoteReference w:id="69"/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harmonizing tradition was also produced promising due reward to those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performing 2, 4, 6, 8, 10, or 12 </w:t>
      </w:r>
      <w:r w:rsidR="00DF22A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rak'a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 during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F22A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prayer.</w:t>
      </w:r>
      <w:r w:rsidR="00DF22A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70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mere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existence of this variety of traditions shows that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F22A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regarded as highly distinguished. The attitude of the believers towards this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prayer is reflected also in the following tradition to the effect that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</w:t>
      </w:r>
      <w:r w:rsidR="00DF22A8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brings forth livelihood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(rizq) </w:t>
      </w:r>
      <w:r w:rsidR="00DF22A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 drives away poverty.</w:t>
      </w:r>
      <w:r w:rsidR="00DF22A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71"/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 special group of traditions was designed to stress the value of a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constant practice of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DF22A8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in contrast to the traditions recommending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only an occasional performance of this prayer. "He who keeps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performing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prayer, his sins will be forgiven even if they were as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plen</w:t>
      </w:r>
      <w:r w:rsidR="00DF22A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tiful as the foam of the sea".</w:t>
      </w:r>
      <w:r w:rsidR="00DF22A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72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Or, "He who prays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constantly,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interrupting it only in case of illness, I (i.e. the Prophet) and he will be in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paradise, in a boat of light, i</w:t>
      </w:r>
      <w:r w:rsidR="00DF22A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n a sea of the light of Allah".</w:t>
      </w:r>
      <w:r w:rsidR="00DF22A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73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Those who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persist in praying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are promised, in another tradition, to enter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paradise through a special door, named "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DF22A8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”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</w:t>
      </w:r>
      <w:r w:rsidR="00DF22A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74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Another tradition says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that he who sticks to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for a whole year, and then abandons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it, this prayer shall miss him like a she-camel which misses its young.</w:t>
      </w:r>
      <w:r w:rsidR="00DF22A8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75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special reward is promised to those who pray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al-subh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 then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remain in their places till the sun rises in order to pray the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3C7FCB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76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importance attributed in early Islam to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reached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such a degree that it was sometimes considered as matching other Islamic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duties. It is related, for instance, that once the Muslims accomplished a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successful raid, and returned to Medina with a lot of booty. The Prophet,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however, declared that he who prayed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had accomplished a more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successful raid and gained more booty.</w:t>
      </w:r>
      <w:r w:rsidR="003C7FC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77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In other words,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regarded as superior to the duty of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jihad.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In another tradition,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Prophet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is quoted as having stated that he who sets out for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shall have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reward 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of him who performs the 'Umra.</w:t>
      </w:r>
      <w:r w:rsidR="003C7FC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78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In fact,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was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eventually regarded as the essence of the true faith; refraining from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observing it was declared to be one of the signs of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munafiq 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</w:t>
      </w:r>
      <w:r w:rsidR="003C7FC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79"/>
      </w:r>
    </w:p>
    <w:p w:rsidR="00D20B6C" w:rsidRPr="002D47EB" w:rsidRDefault="005112D2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3C7FCB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provided in due course with a Quranic basis as well.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This basis was reportedly discovered by Ibn 'Abbas in 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s</w:t>
      </w:r>
      <w:r w:rsidR="003C7FC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u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38/18. This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verse appears in a passage about David who is said to have been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"penitent" 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(awwab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). The verse runs as follows (tr. Arberry):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With him we subjected the mountains to give glory at evening and sunrise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(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... </w:t>
      </w:r>
      <w:r w:rsidR="003C7FC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bi l-‘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ashiyyi wa-1-ishraqi).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prayer of the penitent David and the mountains in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ishraq,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i.e.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sunrise,</w:t>
      </w:r>
      <w:r w:rsidR="003C7FC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80"/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was identified by Ibn ‘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Abbas with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3C7FCB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He is reported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to have said: "The virtue of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3C7FCB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never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lastRenderedPageBreak/>
        <w:t>occurred to me till I came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cross this verse (i.e. 38/ 18)".</w:t>
      </w:r>
      <w:r w:rsidR="003C7FC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81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In further versions it is related that upon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hearing from Umm Hani' that Mu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ammad had prayed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at her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house (see above), Ibn ‘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Abbas stated that it was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al-ishraq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</w:t>
      </w:r>
      <w:r w:rsidR="003C7FC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82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ammad himself is sometimes said to have identified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with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al-ishraq.</w:t>
      </w:r>
      <w:r w:rsidR="003C7FCB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83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identification of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3C7FCB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with David's prayer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who is labelled in the Quran as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awwab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gave rise to a tradition of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Prophet in which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prayer is called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3C7FC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al-awwabi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n.</w:t>
      </w:r>
      <w:r w:rsidR="003C7FCB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84"/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connected by Ibn ‘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Abbas with a further Quranic verse,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namely 24/36, which speaks about prayers held in the mosques .. in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mornings and in the evenings'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</w:t>
      </w:r>
      <w:r w:rsidR="003C7FC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85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relation between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3C7FCB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Quran was reaffirmed through the tradition to the effect that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Prophet had ordered the believers to recite in this prayer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sura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91 (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wa-</w:t>
      </w:r>
      <w:r w:rsidR="003C7FC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-shamsi wa-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ha),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sura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93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(wa-1-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).</w:t>
      </w:r>
      <w:r w:rsidR="003C7FCB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86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David was not the only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Quranic prophet with whom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3C7FCB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connected. Abraham who,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according to Quran 53/37 "paid his debt in full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”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(wajfa),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is said to have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paid it daily by means of the four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of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3C7FCB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</w:t>
      </w:r>
      <w:r w:rsidR="003C7FC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87"/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Moses was told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by Allah that if he wanted the high mountains to pray for him, he should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not stop praying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="003C7FC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3C7FCB" w:rsidRPr="002D47EB">
        <w:rPr>
          <w:rStyle w:val="FootnoteReference"/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footnoteReference w:id="88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Such was the way in which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3C7FCB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survived as a legitimate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Muslim way of worship. The only thing left for Muslim theologians was to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see to it that this prayer was performed not too close to sunrise. This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tendency is clearly reflected in the following story: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sa</w:t>
      </w:r>
      <w:r w:rsidR="003C7FC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habi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Ab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Bash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al-An</w:t>
      </w:r>
      <w:r w:rsidR="003C7FCB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sari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once saw another man (Sa’id b. Nafi’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) praying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as soon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as the sun had risen. Abu Bashir reproached the latter for this, and said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that the Prophet had stated: "Do not pray till the sun is high, because it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rises between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two horns of the devil".</w:t>
      </w:r>
      <w:r w:rsidR="003C7FC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89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same injunction appears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in a further version of t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he tradition stating that Ibn ‘U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mar used to pray the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following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tawaf</w:t>
      </w:r>
      <w:r w:rsidR="003C7FC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(see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above). This version ends with the following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statement: "I do only what my companions used to do, and I hinder no one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from praying at any hour one chooses, at night or in the day, but do not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seek the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(hour of) sunrise or sunset".</w:t>
      </w:r>
      <w:r w:rsidR="003C7FC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90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In a further version of the same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tra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dition it is related that Ibn ‘U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mar used to refrain from praying at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beginning of the day till the sun was high.</w:t>
      </w:r>
      <w:r w:rsidR="003C7FC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91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Likewise, it is reported that Ibn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‘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Abbas stated that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3C7FCB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must be performed when the shadows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disappear (i.e. at noon).</w:t>
      </w:r>
      <w:r w:rsidR="003C7FC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92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Al-Zuhri as well reportedly related that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companions of the Prophet used to pray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at the hot hours of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day </w:t>
      </w:r>
      <w:r w:rsidR="003C7FC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(bi-l-hawajir).</w:t>
      </w:r>
      <w:r w:rsidR="003C7FCB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93"/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Prophet himself is reported to have once seen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people of Quba' praying the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shortly after sunrise, upon which 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stated: "The prayers of the repentants must be performed when the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3C7FC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knuckles are excessively hot".</w:t>
      </w:r>
      <w:r w:rsidR="003C7FC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94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Muslim scholars stressed accordingly that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2D514B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="002D514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should not be performed as long as the rising sun is still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yellow, just as the </w:t>
      </w:r>
      <w:r w:rsidR="002D514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="008A038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should not be delayed till the setting sun</w:t>
      </w:r>
      <w:r w:rsidR="002247EF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D514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becomes yellow.</w:t>
      </w:r>
      <w:r w:rsidR="002D514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95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On the other hand, however, there</w:t>
      </w:r>
      <w:r w:rsidR="00746346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were also certain Muslims who s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till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preferred an earlier hour for the performance of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2D514B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i.e. closer to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D514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original one. ‘U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mar is reported to have stated: "Servants of Allah,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perform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prayer in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i.e. pray it in its proper time, and do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not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lastRenderedPageBreak/>
        <w:t xml:space="preserve">delay it till the time of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has become advanced".</w:t>
      </w:r>
      <w:r w:rsidR="002D514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96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In view of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this, one may conclude that, theoretically at least, this pre-Islamic way of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worship survived almost intact till later Islamic periods.</w:t>
      </w:r>
    </w:p>
    <w:p w:rsidR="00E33F5A" w:rsidRPr="002D47EB" w:rsidRDefault="00E33F5A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</w:p>
    <w:p w:rsidR="00D20B6C" w:rsidRPr="002D47EB" w:rsidRDefault="008A038B" w:rsidP="00E33F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val="en-US"/>
        </w:rPr>
        <w:t>S</w:t>
      </w:r>
      <w:r w:rsidR="005112D2" w:rsidRPr="002D47EB">
        <w:rPr>
          <w:rFonts w:ascii="Times New Roman" w:eastAsia="HiddenHorzOCR" w:hAnsi="Times New Roman" w:cs="Times New Roman"/>
          <w:b/>
          <w:i/>
          <w:color w:val="0D0D0D" w:themeColor="text1" w:themeTint="F2"/>
          <w:sz w:val="24"/>
          <w:szCs w:val="24"/>
          <w:lang w:val="en-US"/>
        </w:rPr>
        <w:t>alāt</w:t>
      </w:r>
      <w:r w:rsidR="002D514B" w:rsidRPr="002D47EB">
        <w:rPr>
          <w:rFonts w:ascii="Times New Roman" w:eastAsia="HiddenHorzOCR" w:hAnsi="Times New Roman" w:cs="Times New Roman"/>
          <w:b/>
          <w:color w:val="0D0D0D" w:themeColor="text1" w:themeTint="F2"/>
          <w:sz w:val="24"/>
          <w:szCs w:val="24"/>
          <w:lang w:val="en-US"/>
        </w:rPr>
        <w:t xml:space="preserve"> al-‘asr</w:t>
      </w:r>
      <w:r w:rsidR="00D20B6C" w:rsidRPr="002D47EB">
        <w:rPr>
          <w:rFonts w:ascii="Times New Roman" w:eastAsia="HiddenHorzOCR" w:hAnsi="Times New Roman" w:cs="Times New Roman"/>
          <w:b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 xml:space="preserve">and </w:t>
      </w:r>
      <w:r w:rsidR="005112D2" w:rsidRPr="002D47EB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val="en-US"/>
        </w:rPr>
        <w:t>ṣalāt</w:t>
      </w:r>
      <w:r w:rsidR="00D20B6C" w:rsidRPr="002D47E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 xml:space="preserve"> al-fajr</w:t>
      </w:r>
    </w:p>
    <w:p w:rsidR="00E33F5A" w:rsidRPr="002D47EB" w:rsidRDefault="00E33F5A" w:rsidP="00E3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</w:pP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A.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report quoted at the beginning of this study (above, p. 41)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concerning the two times of prayer which the first Muslims used to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D514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obse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rve, relates that the second time of prayer, apart from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i.e. that part of the day immediately preceding sunset. According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to that report, 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ammad was unable to pray the </w:t>
      </w:r>
      <w:r w:rsidR="002D514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openly, due to the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objection of the Quraysh. This means that in contrast to 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2D514B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,</w:t>
      </w:r>
      <w:r w:rsidR="00DE02D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did not have any roots in Arab pre-Islamic customs. Various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pre-Islamic rituals did take place at the end of the day, for instance the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tawaf which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was performed at the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as well as in the evening (above,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p. 42), and especially the </w:t>
      </w:r>
      <w:r w:rsidR="008F750E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ifada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from ‘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Arafa to Muzdalifa which was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per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formed close to the setting of the sun (above, p. 43). But the mere fact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that the Quraysh objected to the performance of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by Muh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 indicates that there were some elements in it which did not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accord with the customs of the Quraysh.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It seems that the Quraysh objected to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because this prayer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reflected Jewish practices. The relation of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F4121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al-’asr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to the Jewish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F4121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minh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ah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is quite obvious, and already Goldziher pointed out the Jewish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origin of the sacredness of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time in Islam.</w:t>
      </w:r>
      <w:r w:rsidR="00F4121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97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above report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implies, therefore, that apart from authentic Arab ways of worship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DE02D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),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 adopted, at a very early stage, some Jewish ritual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practices as well. The latter were those to which the Quraysh were firmly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opposed.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Jewish influence is especially conspicuous in those Muslim traditions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stressing the sacredness of the hour of the </w:t>
      </w:r>
      <w:r w:rsidR="00F4121B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on Friday.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on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Friday is regarded in Islam as a most blessed hour, in which all prayers arc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responded to, and all oaths have special solemnity. Some traditions state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that this hour coincides with the time of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F4121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al-’asr.</w:t>
      </w:r>
      <w:r w:rsidR="00F4121B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98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Other traditions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say that this hour commences after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F4121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-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’asr</w:t>
      </w:r>
      <w:r w:rsidR="00F4121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,</w:t>
      </w:r>
      <w:r w:rsidR="00F4121B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99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or, that it lasts from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till the sun disappears,</w:t>
      </w:r>
      <w:r w:rsidR="00F4121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00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or, that it occurs in the last hour of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daylight </w:t>
      </w:r>
      <w:r w:rsidR="00F4121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(akhir sa’at al-nahar);</w:t>
      </w:r>
      <w:r w:rsidR="00F4121B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101"/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some traditions say that this hour starts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when the sun becomes yellow and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lasts till the sun disappears.</w:t>
      </w:r>
      <w:r w:rsidR="00F4121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02"/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Jewish origin of this belief is self-evident in view of the fact that 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in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Judaism the same hour marks the be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ginning of the holy Sabbath.</w:t>
      </w:r>
      <w:r w:rsidR="00F4121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03"/>
      </w:r>
    </w:p>
    <w:p w:rsidR="00D20B6C" w:rsidRPr="002D47EB" w:rsidRDefault="005112D2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’asr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seems to have retained always a special position in Islam.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This is reflected in traditions dealing with the introduction of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</w:t>
      </w:r>
      <w:r w:rsidR="00F4121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-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khawf.</w:t>
      </w:r>
      <w:r w:rsidR="0018702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Mujahid reports that once the Muslims prayed the </w:t>
      </w:r>
      <w:r w:rsidR="00F4121B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zuh</w:t>
      </w:r>
      <w:r w:rsidR="00D20B6C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r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during a military expedition, while being watched by the polytheists. 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latter were about to attack the praying Muslims, but no sooner had they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charged than one of them said: "They (i.e. the Muslims) are about to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perform another prayer before the setting of the sun (namely,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),</w:t>
      </w:r>
      <w:r w:rsidR="0018702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is dearer to them t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han their own selves".</w:t>
      </w:r>
      <w:r w:rsidR="00F4121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04"/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at-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’asr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thus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preferred by the polytheists as the most appropriate time for attacking 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Muslims, on the assumption that the latter would not interrupt it even if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their lives were endangered. In order to protect the Muslims and to secure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undisturbed performance of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F4121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al-’asr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Gabriel reportedly revealed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to 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ammad the verses about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al-khawf</w:t>
      </w:r>
      <w:r w:rsidR="00F4121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(Quran,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4/101 ff.).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lastRenderedPageBreak/>
        <w:t xml:space="preserve">The special veneration with which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F4121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al-’asr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treated by 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Muslims brought about the introduction of traditions of the Prophet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stressing the vital importance of its performance by the believers. 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Prophet reportedly stated that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F4121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al-’asr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had been enjoined upon 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previous peoples but they had refused to practice it because it was too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burdensome for them. But in fact, it was superior to· the rest of the prayers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by twenty-six degrees.</w:t>
      </w:r>
      <w:r w:rsidR="00F4121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05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In another version of the same tradition, 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Prophet promises a double reward to those who pray the </w:t>
      </w:r>
      <w:r w:rsidR="00F4121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r.</w:t>
      </w:r>
      <w:r w:rsidR="00F4121B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106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"He who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neglects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prayer", says another tradition, "his (entire) work has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failed".</w:t>
      </w:r>
      <w:r w:rsidR="00F4121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07"/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Another tradition states that missing the appropriate time of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F4121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al-’asr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is like losi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ng one's family and fortune.</w:t>
      </w:r>
      <w:r w:rsidR="00F4121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08"/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importance of this prayer is clearly reflected in some legendary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traditions relating that ‘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Ali b. Abi 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Talib was once entrusted by Muha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mmad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with a certain task, due to which he was unable to pray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="00DE02D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efore the setting of the sun. The Prophet, it is related, invoked Allah to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draw back the sun, till it shone again above the western horizon; there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upon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‘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Ali prayed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="00F4121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 the sun set again.</w:t>
      </w:r>
      <w:r w:rsidR="00F4121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09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B.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fact that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one of the two daily prayers which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preceded the five constitutional ones, is mentioned in a whole series of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exegetic traditions referring to some Quranic verses which are interpreted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as though dealing with that early stage when the Muslims prayed only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twice a day. The interesting point is that the morning prayer, which is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mentioned in these traditions alongside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al-’asr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is no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,</w:t>
      </w:r>
      <w:r w:rsidR="00DE02D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but rather another prayer -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is performed before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sunrise. This fact means that already before the introduction of the 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five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daily prayers,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replaced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as an official morning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prayer, performed together with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al-’asr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Among the Quranic verses which Muslim commentators connected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with the prayers of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most noteworthy is 20/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1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30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(cf. also 50/39-40):</w:t>
      </w:r>
    </w:p>
    <w:p w:rsidR="007D691D" w:rsidRPr="002D47EB" w:rsidRDefault="007D691D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wa-sabbi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h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bi-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amdi rabbika qabla tulu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i 1-shamsi wa-qabla ghurubiha ...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 praise your Lord before the rising of the sun and before its setting ...</w:t>
      </w:r>
    </w:p>
    <w:p w:rsidR="007D691D" w:rsidRPr="002D47EB" w:rsidRDefault="007D691D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According to al-Suddi, this verse refers to the first two daily prayers, which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preceded t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he five constitutional ones,</w:t>
      </w:r>
      <w:r w:rsidR="007D691D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10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and these prayers are said to 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be 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ṣalāt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al-fajr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’asr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7D691D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111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Another Quranic verse which is also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connected by Muslim exegetes with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al-’asr</w:t>
      </w:r>
      <w:r w:rsidR="007D691D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112"/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is 11/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114:</w:t>
      </w:r>
      <w:r w:rsidR="008A038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wa-aqimi 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l-s</w:t>
      </w:r>
      <w:r w:rsidRPr="002D47EB">
        <w:rPr>
          <w:rFonts w:ascii="Times New Roman" w:eastAsia="HiddenHorzOCR" w:hAnsi="Times New Roman" w:cs="Times New Roman"/>
          <w:i/>
          <w:color w:val="0D0D0D" w:themeColor="text1" w:themeTint="F2"/>
          <w:sz w:val="24"/>
          <w:szCs w:val="24"/>
          <w:lang w:val="en-US"/>
        </w:rPr>
        <w:t>alata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(araf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ayi 1-nahari wa-zulafan mina l-l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ayli</w:t>
      </w:r>
      <w:r w:rsidR="008A038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)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 perform the prayer at the two ends of t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he day and during some stages of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night.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same prayers are said to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be mentioned in Quran 40/55,</w:t>
      </w:r>
      <w:r w:rsidR="007D691D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13"/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6/52,</w:t>
      </w:r>
      <w:r w:rsidR="007D691D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14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and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17/78-79.</w:t>
      </w:r>
      <w:r w:rsidR="007D691D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15"/>
      </w:r>
      <w:r w:rsidR="008A038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fact that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substituted for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as an offi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cial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morning prayer already before the number of prayers was extended to five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is most significant. The obvious similarity between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 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Jewish 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shah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arith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indicat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es, once again, how early Muh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 began to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look for Jewish models of prayer which substituted for Arab pre-Islamic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manners of worship 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). The same 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pr</w:t>
      </w:r>
      <w:r w:rsidR="007D691D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o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cess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is discernible in 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fact that at a certain stage before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hijra,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</w:t>
      </w:r>
      <w:r w:rsidR="002C3580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 stopped praying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lastRenderedPageBreak/>
        <w:t xml:space="preserve">towards the Ka'ba which served as his first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qibla,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 started praying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towards Jerusalem instead.</w:t>
      </w:r>
      <w:r w:rsidR="007D691D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16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After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hijra,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however, the Ka'ba was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taken up again as a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qibla.</w:t>
      </w:r>
      <w:r w:rsidR="0018702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sacredness of the hours of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mainly 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result of the fact that they marked the middle stage between day and night.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Prophet is reported to have related that at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="008A038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angels of the day and of the night meet with each other, on their way up to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heaven and down to earth. Those going up inform Allah about the prayers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of the worshippers.</w:t>
      </w:r>
      <w:r w:rsidR="007D691D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17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This tradition indicates that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="0018702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were regarded as most appropriate hours for prayer.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fact that the prayers of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were performed during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middle stage between night and day brought about the identification of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these prayers with the Quranic phrase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al-wusta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(2/238). This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phrase in itself means a prayer p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erformed between night and day,</w:t>
      </w:r>
      <w:r w:rsidR="007D691D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18"/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 it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seems to have been connected at first with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al-subh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(al-fajr)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was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performed between the darkness of the night and the brightness of 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day.</w:t>
      </w:r>
      <w:r w:rsidR="007D691D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19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application of the same Quranic phrase to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af_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is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as</w:t>
      </w:r>
      <w:r w:rsidR="007D691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cribed to the Prophet himself. ‘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Ali related that the Muslims used to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think that 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al-wust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was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7D691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al-subh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till they had heard 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Prophet cursing the polytheists during the Battle of the Ditch for having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07C7D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detained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Muslims from praying the 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‘aṣr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words of the Prophet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were: </w:t>
      </w:r>
      <w:r w:rsidR="00207C7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"shaghlu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na 'ani </w:t>
      </w:r>
      <w:r w:rsidR="00207C7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207C7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i l-wusta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207C7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i l-‘asri…</w:t>
      </w:r>
      <w:r w:rsidR="00207C7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"</w:t>
      </w:r>
      <w:r w:rsidR="00207C7D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20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It was even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maintained that the words </w:t>
      </w:r>
      <w:r w:rsidR="00207C7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“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207C7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al-’asr</w:t>
      </w:r>
      <w:r w:rsidR="008A038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we</w:t>
      </w:r>
      <w:r w:rsidR="00207C7D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re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originally written in 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07C7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Q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uran itself, serving as a </w:t>
      </w:r>
      <w:r w:rsidR="00207C7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b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adal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for the phrase </w:t>
      </w:r>
      <w:r w:rsidR="00207C7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207C7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al-wusta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This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q</w:t>
      </w:r>
      <w:r w:rsidR="00207C7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ira’a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="00207C7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 related on the authority of ‘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A'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ishā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, </w:t>
      </w:r>
      <w:r w:rsidR="00207C7D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Hafs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a </w:t>
      </w:r>
      <w:r w:rsidR="00207C7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 Umm Salama.</w:t>
      </w:r>
      <w:r w:rsidR="00207C7D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21"/>
      </w:r>
    </w:p>
    <w:p w:rsidR="00D20B6C" w:rsidRPr="002D47EB" w:rsidRDefault="005112D2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al-fajr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207C7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al-’asr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have always retained their superiority over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rest of the official Islamic prayers. Thus it is related that a person told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Prophet that his preoccupations hindered him from sticking to the five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daily prayers. So the Prophet instructed him to keep to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="00207C7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ni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only.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man asked: "What are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ani?"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Prophet said: "A prayer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before sunrise </w:t>
      </w:r>
      <w:r w:rsidR="00207C7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 a prayer before sunset".</w:t>
      </w:r>
      <w:r w:rsidR="00207C7D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22"/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virtue of these prayers is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stressed also in the following statement of the Prophet: "He who prays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before the rising of the sun and before its s</w:t>
      </w:r>
      <w:r w:rsidR="00207C7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etting will not enter hell".</w:t>
      </w:r>
      <w:r w:rsidR="00207C7D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23"/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prayers of the 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fajr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were also called </w:t>
      </w:r>
      <w:r w:rsidR="00207C7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al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-bardani,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i.e. the cool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ones. The Prophet reportedly stated: "He who prays the </w:t>
      </w:r>
      <w:r w:rsidR="00D20B6C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bardani </w:t>
      </w:r>
      <w:r w:rsidR="00D20B6C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will enter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07C7D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paradise".</w:t>
      </w:r>
      <w:r w:rsidR="00207C7D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24"/>
      </w:r>
    </w:p>
    <w:p w:rsidR="0018702B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C.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data surveyed thus far concerning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207C7D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al-’asr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indicate that these 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praye</w:t>
      </w:r>
      <w:r w:rsidR="00207C7D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r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were actually performed close to sunrise and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sunset. But these prayers were never condemned as </w:t>
      </w:r>
      <w:r w:rsidR="003E5B9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bid’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not even after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aversion to prayers during sunrise and sunset became dominant in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Islam. The reason for this seems to have been connected with the fact that,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in contrast to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3E5B9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ḍuḥā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prayers of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‘as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had a clear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para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llel in other monotheistic circles, i.e. the Jews, and this apparently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provided these prayers with a kind of legitimacy. Nevertheless, there is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evid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ence in Muslim sources that some scholars preferred that the prayers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of</w:t>
      </w:r>
      <w:r w:rsidR="003E5B9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the</w:t>
      </w:r>
      <w:r w:rsidR="003E5B9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="003E5B9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be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performed not too close to sunrise and sunset. As 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for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those who waited till the sun became yellow in order to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perform this prayer were sometimes labelled as </w:t>
      </w:r>
      <w:r w:rsidR="003E5B9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muna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fiqun 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</w:t>
      </w:r>
      <w:r w:rsidR="003E5B9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25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As for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18702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al-fajr,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several traditions were circulated stressing that this prayer must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not be extended beyond sunrise.</w:t>
      </w:r>
      <w:r w:rsidR="003E5B9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26"/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general tendency was to detach it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as far as possible from sunrise, so that prayers performed even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lastRenderedPageBreak/>
        <w:t>during 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first brightness prec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eding sunrise were deplored.</w:t>
      </w:r>
      <w:r w:rsidR="003E5B9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27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best time prescribed for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was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ghalas,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i.e., the last moments of darkness.</w:t>
      </w:r>
      <w:r w:rsidR="003E5B9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28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Sometimes it was even stressed that when this prayer was concluded,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one was still unable to recogn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ize one's own son or friend.</w:t>
      </w:r>
      <w:r w:rsidR="003E5B9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29"/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Delaying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till after the disappearance of the stars was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sometimes condemned as a Christian practice.</w:t>
      </w:r>
      <w:r w:rsidR="003E5B9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30"/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On the other hand, however, there were quite a few Muslims who, in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spite of the aversion to prayers during sunrise and sunset, used to delay 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prayers till very close to sunrise and sunset, thus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maintaining their original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time. Those who used to delay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during Muh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ammad's lifetime were mainly the inhabitants of Quba', near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Medina, namely the Banu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‘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Amr b. 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‘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Awf. It is reported that they used to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much later th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 did the people of Medina.</w:t>
      </w:r>
      <w:r w:rsidR="003E5B9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31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scholar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Tawus reportedly used to delay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till the sun became very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yellow.</w:t>
      </w:r>
      <w:r w:rsidR="003E5B9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32"/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Ibn Mas’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ud also used to delay the </w:t>
      </w:r>
      <w:r w:rsidR="003E5B9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asr 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prayer,</w:t>
      </w:r>
      <w:r w:rsidR="003E5B9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33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and so did Ibn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Sirin and Abu Qilaba.</w:t>
      </w:r>
      <w:r w:rsidR="003E5B9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34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Abu Hurayra reportedly postponed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until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rays of the sun were seen only upon the summit of the highest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mountain in Medina.</w:t>
      </w:r>
      <w:r w:rsidR="003E5B9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35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name of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3E5B9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explained as though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derived from the term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r</w:t>
      </w:r>
      <w:r w:rsidR="003E5B9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sar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in the sense of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ta'kh</w:t>
      </w:r>
      <w:r w:rsidR="003E5B9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i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r, </w:t>
      </w:r>
      <w:r w:rsidR="003E5B9A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i.e., delay.</w:t>
      </w:r>
      <w:r w:rsidR="003E5B9A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36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Abu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Qilaha reportedly stated that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3E5B9A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al-‘as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thus named in order to be</w:t>
      </w:r>
      <w:r w:rsidR="008A038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</w:t>
      </w:r>
      <w:r w:rsidR="009E465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layed.</w:t>
      </w:r>
      <w:r w:rsidR="009E4656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37"/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Traditions soon appeared in which those who prayed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as early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as possible were actually condemned for deviating from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sunna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of the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9E465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Prophet. U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mm Salama is reported to have stated: "The apostle of Allah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used to pray the </w:t>
      </w:r>
      <w:r w:rsidR="009E465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z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uhr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earlier than you do, and you pray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earlier than</w:t>
      </w:r>
      <w:r w:rsidR="0018702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9E465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he did".</w:t>
      </w:r>
      <w:r w:rsidR="009E4656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38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In a similar tradition, the too early performance of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="0018702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prayer is presented as a deviation from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sunna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of the preceding peoples:</w:t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"Those who were before you used to pray the 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zu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hr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earlier than you do, and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to pray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later than you do".</w:t>
      </w:r>
      <w:r w:rsidR="00EB3DA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39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In fact, the Prophet himself was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quoted as explicitly favouring the delayed performance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(ta'khir)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of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450B77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al-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’asr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EB3DAB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140"/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great scholar Abu 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anifa objected to the early performance of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He maintained that the appropriate time for this prayer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commences only when the shadows are twice as long as the· objects that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cast them.</w:t>
      </w:r>
      <w:r w:rsidR="00EB3DA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41"/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followers of Abu Hani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fa maintained that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should be delayed till the ascension of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angels at the end of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 day.</w:t>
      </w:r>
      <w:r w:rsidR="00EB3DA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42"/>
      </w:r>
    </w:p>
    <w:p w:rsidR="00EB3DAB" w:rsidRPr="002D47EB" w:rsidRDefault="00D20B6C" w:rsidP="00EB3DA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Likewise,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not always detached from sunrise. Pious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Muslims like ‘Umar b. al-Khatt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ab, although recommending that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-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fajr</w:t>
      </w:r>
      <w:r w:rsidR="00450B77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be started when the stars are still visible, gave instructions to prolong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it through the recitation of two long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suras.</w:t>
      </w:r>
      <w:r w:rsidR="00EB3DAB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143"/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In fact, many Muslims used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to carry on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the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 till the day became very bright, or even to start it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only when the day was already bright. Such, for instance, was the practice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of Tawus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kāna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yus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firu bi-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al-ghadat).</w:t>
      </w:r>
      <w:r w:rsidR="00EB3DAB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144"/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‘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Ali and 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Sa’id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b. Jubayr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reportedly used to instruct the 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mu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'adhdhin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to wait with the announcement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of this prayer till the day was bright (as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fir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! as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fir!).</w:t>
      </w:r>
      <w:r w:rsidR="00EB3DA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45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This injunction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(asfiru bi-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al-subh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)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was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lastRenderedPageBreak/>
        <w:t xml:space="preserve">even circulated as a Prophetic 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h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adith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EB3DAB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146"/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lb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n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Mas’u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 actually delayed this prayer till just before sunrise. It is related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that some people once prayed this prayer with him, and as soon as they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were finished, the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sun rose. They asked Ibn Mas’u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 about it, and he swore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to them that this was the appropriate time for this prayer. To prove it he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recited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sura 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17/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78: 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"aqimi l-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 li-duluki l-shamsi ila ghasaqi l.layl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".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He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said: This is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du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luk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of the sun (i.e., the eastern horizon), and this is the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ghasaq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of the night 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(i.e., the western horizon).</w:t>
      </w:r>
      <w:r w:rsidR="00EB3DA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47"/>
      </w:r>
    </w:p>
    <w:p w:rsidR="00EB3DAB" w:rsidRPr="002D47EB" w:rsidRDefault="00D20B6C" w:rsidP="00EB3DA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D.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question of the lawfulness of prayers close to sunrise and sunset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was especially acute with respect to the voluntary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following the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prayers of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'as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Those who objected to prayers close to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sunrise and sunset utterly forbade such voluntary supplications following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al-'as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Their attitude is reflected in the following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traditions about the Prophet. ‘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Ali reportedly stated that the Prophet used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to pray two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following each compulsory prayer, except for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fajr</w:t>
      </w:r>
      <w:r w:rsidR="00450B77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‘aṣr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EB3DAB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148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Salama b. al-Akwa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’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, too, stated that he had never seen the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Prophet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 following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subh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‘aṣr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prayers.</w:t>
      </w:r>
      <w:r w:rsidR="00EB3DA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49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Prophet himself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reported to have interdicted in several traditions prayers following the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subh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till sunrise, and following the 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‘aṣr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till sunset.</w:t>
      </w:r>
      <w:r w:rsidR="00EB3DA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50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Prayers following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al-’asr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were especially prohibited, and several traditions of the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Prophet to 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that effect were circulated.</w:t>
      </w:r>
      <w:r w:rsidR="00EB3DA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51"/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</w:p>
    <w:p w:rsidR="00D20B6C" w:rsidRPr="002D47EB" w:rsidRDefault="00D20B6C" w:rsidP="002F0E4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As is to be expected, however, there is evidence that voluntary prayers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following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’aṣr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were not altogether abandoned. The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adherence to such voluntary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customary mainly in Mecca; here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they were performed at the end of the 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awaf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which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took place following the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prayers of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‘aṣr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450B77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 tradition of the Prophet says that there are two kinds of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tawaf</w:t>
      </w:r>
      <w:r w:rsidR="00450B77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provide the belie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vers with total forgiveness: a t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awaf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following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="00450B77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al-fajr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which is finished at sunrise, and a 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awaf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following the 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‘aṣr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which is finished at sunset. These are sacred hours attended by the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EB3DAB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angels.</w:t>
      </w:r>
      <w:r w:rsidR="00EB3DAB" w:rsidRPr="002D47EB">
        <w:rPr>
          <w:rStyle w:val="FootnoteReference"/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footnoteReference w:id="152"/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Each of these two daily 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awafs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was concluded by two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rak'as,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there are several traditions of the Prophet stressing the lawfulness of such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rak'as.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In one of them the following statement is attributed to the Prophet: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"There is no prayer following the 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'as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till sunset, neither following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the</w:t>
      </w:r>
      <w:r w:rsidR="00EB3DAB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fajr</w:t>
      </w:r>
      <w:r w:rsidR="00450B77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til</w:t>
      </w:r>
      <w:r w:rsidR="00EB3DAB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 sunrise, except at Mecca".</w:t>
      </w:r>
      <w:r w:rsidR="00EB3DAB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53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In fact, there is a whole chapter in </w:t>
      </w:r>
      <w:r w:rsidR="002F0E4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al-Fak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ihi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containing traditions about prominent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sahaba, </w:t>
      </w:r>
      <w:r w:rsidR="002F0E4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such as Ibn ‘U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mar,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F0E4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Ibn 'Abbas, al-Hasan, al-H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usayn and others, who prayed the voluntary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 </w:t>
      </w:r>
      <w:r w:rsidR="002F0E4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'as at Mecca foll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owing the </w:t>
      </w:r>
      <w:r w:rsidR="002F0E4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awaf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of the </w:t>
      </w:r>
      <w:r w:rsidR="002F0E46"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>s</w:t>
      </w:r>
      <w:r w:rsidRPr="002D47EB">
        <w:rPr>
          <w:rFonts w:ascii="Times New Roman" w:eastAsia="HiddenHorzOCR" w:hAnsi="Times New Roman" w:cs="Times New Roman"/>
          <w:color w:val="0D0D0D" w:themeColor="text1" w:themeTint="F2"/>
          <w:sz w:val="24"/>
          <w:szCs w:val="24"/>
          <w:lang w:val="en-US"/>
        </w:rPr>
        <w:t xml:space="preserve">ubh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00753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‘asr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2F0E46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154"/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Muslim scholars sometimes made a point of stressing that the concession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relating to prayers following the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2F0E4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asr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was exclusive to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F0E4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Mecca,</w:t>
      </w:r>
      <w:r w:rsidR="002F0E46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55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but, on the other hand, the </w:t>
      </w:r>
      <w:r w:rsidR="002F0E4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awaf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did not always remain the only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legitimate setting for practicing these extra prayers. It is reported that the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F0E4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Zahiri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 considered all traditions prohibiting additional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following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F0E4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he</w:t>
      </w:r>
      <w:r w:rsidR="002F0E4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fajr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the 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‘aṣr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prayers as abrogated </w:t>
      </w:r>
      <w:r w:rsidR="002F0E4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(mansu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kha </w:t>
      </w:r>
      <w:r w:rsidR="002F0E4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).</w:t>
      </w:r>
      <w:r w:rsidR="002F0E46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56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There are, in fact,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F0E4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several examples proving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that the adherence to this kind of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rak'as</w:t>
      </w:r>
      <w:r w:rsidR="00450B77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overcame the resistance of pious Muslims. It is related, for instance, that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F0E4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‘U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mar used to flog people who dared pray after the </w:t>
      </w:r>
      <w:r w:rsidR="002F0E4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'as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prayer, but Tamim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F0E4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al-Dari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ignored it and stated that he had seen the Prophet himself praying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following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’aṣr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2F0E46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157"/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same statement was made by Zayd b. Khalid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2F0E4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al-Juhani.</w:t>
      </w:r>
      <w:r w:rsidR="002F0E46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58"/>
      </w:r>
      <w:r w:rsidR="002F0E46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Abu Musa al-Ash’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ari as well related that he had seen the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lastRenderedPageBreak/>
        <w:t xml:space="preserve">Prophet perform two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 following </w:t>
      </w:r>
      <w:r w:rsidR="005112D2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ṣalāt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al-</w:t>
      </w:r>
      <w:r w:rsidR="00887151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’aṣr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.</w:t>
      </w:r>
      <w:r w:rsidR="002F0E46" w:rsidRPr="002D47EB">
        <w:rPr>
          <w:rStyle w:val="FootnoteReferen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footnoteReference w:id="159"/>
      </w:r>
      <w:r w:rsidR="002F0E4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 ‘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A'</w:t>
      </w:r>
      <w:r w:rsidR="005112D2" w:rsidRPr="002D47E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ishā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, too, stated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that the Prophet had never given up the two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rak'as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following the </w:t>
      </w:r>
      <w:r w:rsidR="002F0E46" w:rsidRPr="002D47EB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 xml:space="preserve">‘asr </w:t>
      </w:r>
      <w:r w:rsidR="008F750E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prayer.</w:t>
      </w:r>
      <w:r w:rsidR="002F0E46"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footnoteReference w:id="160"/>
      </w:r>
    </w:p>
    <w:p w:rsidR="00D20B6C" w:rsidRPr="002D47EB" w:rsidRDefault="00D20B6C" w:rsidP="0045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These traditions indicate that despite the efforts exerted by Muslim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scholars to suppress prayers during sunrise and sunset, due to their alleged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pagan nature - prayers at these hours were never abandoned in early</w:t>
      </w:r>
      <w:r w:rsidR="00450B77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Islam. The sacredness attached to these hours was greater than the fear of</w:t>
      </w:r>
      <w:r w:rsidR="00DE02D1"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paganism.</w:t>
      </w:r>
    </w:p>
    <w:sectPr w:rsidR="00D20B6C" w:rsidRPr="002D47EB" w:rsidSect="00552CEE">
      <w:pgSz w:w="11907" w:h="16840" w:code="9"/>
      <w:pgMar w:top="1418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5D" w:rsidRDefault="0039075D" w:rsidP="00D20B6C">
      <w:pPr>
        <w:spacing w:after="0" w:line="240" w:lineRule="auto"/>
      </w:pPr>
      <w:r>
        <w:separator/>
      </w:r>
    </w:p>
  </w:endnote>
  <w:endnote w:type="continuationSeparator" w:id="0">
    <w:p w:rsidR="0039075D" w:rsidRDefault="0039075D" w:rsidP="00D2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5D" w:rsidRDefault="0039075D" w:rsidP="00D20B6C">
      <w:pPr>
        <w:spacing w:after="0" w:line="240" w:lineRule="auto"/>
      </w:pPr>
      <w:r>
        <w:separator/>
      </w:r>
    </w:p>
  </w:footnote>
  <w:footnote w:type="continuationSeparator" w:id="0">
    <w:p w:rsidR="0039075D" w:rsidRDefault="0039075D" w:rsidP="00D20B6C">
      <w:pPr>
        <w:spacing w:after="0" w:line="240" w:lineRule="auto"/>
      </w:pPr>
      <w:r>
        <w:continuationSeparator/>
      </w:r>
    </w:p>
  </w:footnote>
  <w:footnote w:id="1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8A038B">
        <w:rPr>
          <w:rStyle w:val="FootnoteReference"/>
          <w:rFonts w:ascii="Times New Roman" w:hAnsi="Times New Roman" w:cs="Times New Roman"/>
        </w:rPr>
        <w:footnoteRef/>
      </w:r>
      <w:r w:rsidRPr="008A038B">
        <w:rPr>
          <w:rFonts w:ascii="Times New Roman" w:hAnsi="Times New Roman" w:cs="Times New Roman"/>
          <w:lang w:val="en-US"/>
        </w:rPr>
        <w:t xml:space="preserve"> I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. Goldziher,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 xml:space="preserve">Muslim Studies, 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ed. by S.M. Stern, London 1971, I, 43.</w:t>
      </w:r>
    </w:p>
  </w:footnote>
  <w:footnote w:id="2">
    <w:p w:rsidR="005112D2" w:rsidRPr="002D47EB" w:rsidRDefault="005112D2" w:rsidP="008A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  <w:sz w:val="20"/>
          <w:szCs w:val="20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  <w:t xml:space="preserve"> </w:t>
      </w:r>
      <w:r w:rsidRPr="002D47EB">
        <w:rPr>
          <w:rFonts w:ascii="Times New Roman" w:hAnsi="Times New Roman" w:cs="Times New Roman"/>
          <w:bCs/>
          <w:color w:val="0D0D0D" w:themeColor="text1" w:themeTint="F2"/>
          <w:sz w:val="20"/>
          <w:szCs w:val="20"/>
          <w:lang w:val="en-US"/>
        </w:rPr>
        <w:t>E.</w:t>
      </w:r>
      <w:r w:rsidRPr="002D47EB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  <w:lang w:val="en-US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  <w:t xml:space="preserve">Mittwoch, </w:t>
      </w:r>
      <w:r w:rsidRPr="002D47EB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  <w:lang w:val="en-US"/>
        </w:rPr>
        <w:t xml:space="preserve">Zur Entstehungsgeschichte des islamischen Gebets und Kultus, </w:t>
      </w:r>
      <w:r w:rsidRPr="002D47EB">
        <w:rPr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  <w:t>Berlin 1913, p. 10.</w:t>
      </w:r>
    </w:p>
  </w:footnote>
  <w:footnote w:id="3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2D47EB">
        <w:rPr>
          <w:rFonts w:ascii="Times New Roman" w:eastAsia="HiddenHorzOCR" w:hAnsi="Times New Roman" w:cs="Times New Roman"/>
          <w:color w:val="0D0D0D" w:themeColor="text1" w:themeTint="F2"/>
        </w:rPr>
        <w:t>Baladhuri, Ansab, I, 113, 117.</w:t>
      </w:r>
    </w:p>
  </w:footnote>
  <w:footnote w:id="4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Isaba, VIII, 25-26. 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Cf. also Goldzher. Muslim Studies, I, 42-43.</w:t>
      </w:r>
    </w:p>
  </w:footnote>
  <w:footnote w:id="5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Maqrizi, Imar, I, 16-17.</w:t>
      </w:r>
    </w:p>
  </w:footnote>
  <w:footnote w:id="6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Halabi, I, 267.</w:t>
      </w:r>
    </w:p>
  </w:footnote>
  <w:footnote w:id="7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Muqatil, II, 242: 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wa-hiya awwalu sa'atin mina l-nahari, min hini tatlu'u l-shamsu.</w:t>
      </w:r>
    </w:p>
  </w:footnote>
  <w:footnote w:id="8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For a further description of Muhammad's prayer near the Ka'ba following sunrise, see Tabati, Tarikh, II, 56 (the story of 'Afif al-Kindi). Cf. Bayhaqi, Dala'il, I, 416; Halabi, I, 270-271.</w:t>
      </w:r>
    </w:p>
  </w:footnote>
  <w:footnote w:id="9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Ibid., 249: </w:t>
      </w: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...wa huwa akhiru sa'atin mina l-nahari... hina tasubu l-shamsu li-l-ghurub.</w:t>
      </w:r>
    </w:p>
  </w:footnote>
  <w:footnote w:id="10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E.g. Suyuti, Durr, V, 154 (on 30/17-18), 309 (on 38/31), 352 (on 40/55); III, 14 (on 6/52); IV, 219.220 (on 18/28), 260 (on 19/11).</w:t>
      </w:r>
    </w:p>
  </w:footnote>
  <w:footnote w:id="11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It is now clear that </w:t>
      </w: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ṣalāt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al-'asr was introduced into Islamic cult much earlier than the Madinan period, contrary to Mittwoch, op. cit., I I ff.</w:t>
      </w:r>
    </w:p>
  </w:footnote>
  <w:footnote w:id="12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Ibn Hisham, I, 292:</w:t>
      </w:r>
    </w:p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i/>
          <w:color w:val="0D0D0D" w:themeColor="text1" w:themeTint="F2"/>
          <w:lang w:val="en-US"/>
        </w:rPr>
      </w:pP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wa-bi-l-hajari l-muswaddi idh yamsahunahu/</w:t>
      </w:r>
    </w:p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i/>
          <w:color w:val="0D0D0D" w:themeColor="text1" w:themeTint="F2"/>
          <w:lang w:val="en-US"/>
        </w:rPr>
      </w:pP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idha ktanafuhu bi-l-duha wa-l-asa'ili.</w:t>
      </w:r>
    </w:p>
  </w:footnote>
  <w:footnote w:id="13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i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Taj, s.v., "d.h.w.": </w:t>
      </w: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wa-dahhaytu bi-lshati tadhiyatan - dhabahtuha fiha, ay fi duha l nahari: hadha huwa l-aslu fihi...</w:t>
      </w:r>
    </w:p>
  </w:footnote>
  <w:footnote w:id="14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E.g. Qira, 523; Fath al-bari, III, 462.</w:t>
      </w:r>
    </w:p>
  </w:footnote>
  <w:footnote w:id="15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E.g. Azraqi, 130.</w:t>
      </w:r>
    </w:p>
  </w:footnote>
  <w:footnote w:id="16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Ibn Hisham, II, 157.</w:t>
      </w:r>
    </w:p>
  </w:footnote>
  <w:footnote w:id="17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E.g. Azraqi, 131.</w:t>
      </w:r>
    </w:p>
  </w:footnote>
  <w:footnote w:id="18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Isaba, II, 413; Majma' al-zawa'id, II, 234; Suyuti, Hawi, I, 73.</w:t>
      </w:r>
    </w:p>
  </w:footnote>
  <w:footnote w:id="19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79/80.</w:t>
      </w:r>
    </w:p>
  </w:footnote>
  <w:footnote w:id="20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Ibid., 79.</w:t>
      </w:r>
    </w:p>
  </w:footnote>
  <w:footnote w:id="21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For a survey of these sources see M.J.Kister, "Some reports concerning al-Ta'if", JSAI, I, 1979, p. 4.</w:t>
      </w:r>
    </w:p>
  </w:footnote>
  <w:footnote w:id="22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Bayhaqt, Dala'il, II, 363. See also Fath al-bari, III, 45; Zad, 348; Majma'al-zawa'id, II, 238; Suyuti, Hawi, I, 60-61.</w:t>
      </w:r>
    </w:p>
  </w:footnote>
  <w:footnote w:id="23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E.g. Ibn Hisham, IV, 53-54; Waqid, II, 830: Ibn Sa'd, II, 144-145; Bukhari, II, 73: Muslim, II, 157-158; Malik, I, 166; Abu Dawud, I, 297; Tirnidhi, II, 258; Fath al-bari, III, 43-44; Zad, 332; Suyuti, Hawi, I, 59.</w:t>
      </w:r>
    </w:p>
  </w:footnote>
  <w:footnote w:id="24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Majma' al-zawa'id, II, 235; Suyuti, Hawi, I, 61.</w:t>
      </w:r>
    </w:p>
  </w:footnote>
  <w:footnote w:id="25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Abu Dawud, II, 313. Cf. also Suyuti, Hawi, I, 61.</w:t>
      </w:r>
    </w:p>
  </w:footnote>
  <w:footnote w:id="26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Ibn Sa'd, IV, 216-217, 218; Abu Dawud, I, 294; Muslim, II, 209; Ibn Qutayba, Tawil, 125. On the meaning of "the two horns of the devil" in connection with the sun, see I. Goldziher, </w:t>
      </w: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Abhandlungen zur arabischen Philologie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, I, Leiden 1896, p. 113 ff. And see further traditions forbidding prayers at sunrise or sunset, Wensink, Handbook, 192.</w:t>
      </w:r>
    </w:p>
  </w:footnote>
  <w:footnote w:id="27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E.g. El' s.v. "mikat".</w:t>
      </w:r>
    </w:p>
  </w:footnote>
  <w:footnote w:id="28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E.g. Azraqi, 131.</w:t>
      </w:r>
    </w:p>
  </w:footnote>
  <w:footnote w:id="29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Bukhari, III, 3; Muslim, IV, 61. And see further Suyuti, Hawi, I, 73.</w:t>
      </w:r>
    </w:p>
  </w:footnote>
  <w:footnote w:id="30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81: 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ma sallaytu l-duha mundhu aslamtu.</w:t>
      </w:r>
    </w:p>
  </w:footnote>
  <w:footnote w:id="31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81.</w:t>
      </w:r>
    </w:p>
  </w:footnote>
  <w:footnote w:id="32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Bukhari, II, 73; Zad, 331, 343.</w:t>
      </w:r>
    </w:p>
  </w:footnote>
  <w:footnote w:id="33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Zad, 344.</w:t>
      </w:r>
    </w:p>
  </w:footnote>
  <w:footnote w:id="34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Ibid., 343: Fath al-bari, III. 45-46.</w:t>
      </w:r>
    </w:p>
  </w:footnote>
  <w:footnote w:id="35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80; Zad, 344.</w:t>
      </w:r>
    </w:p>
  </w:footnote>
  <w:footnote w:id="36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Bukhari, II, 73-74; Zad, 347; Fath al-bari, III, 45.</w:t>
      </w:r>
    </w:p>
  </w:footnote>
  <w:footnote w:id="37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Muslim, II, 156; Zad, 332, 345.</w:t>
      </w:r>
    </w:p>
  </w:footnote>
  <w:footnote w:id="38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77.</w:t>
      </w:r>
    </w:p>
  </w:footnote>
  <w:footnote w:id="39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See Zad, 346 ff.; Fath al-bari, III, 44, Suhayli, IV, 103.</w:t>
      </w:r>
    </w:p>
  </w:footnote>
  <w:footnote w:id="40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Bukhari, II, 190; Abd al-RAzzaq, II, 427.</w:t>
      </w:r>
    </w:p>
  </w:footnote>
  <w:footnote w:id="41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Tirmidhi, IV, 98-99. See also ibid., I, 299; Fath al-bari, III, 390 ff.; Majma' al-zawa'id, II, 228-229; Azraqt, 265. Fakiht, fol. 300; Qira, 320 ff.</w:t>
      </w:r>
    </w:p>
  </w:footnote>
  <w:footnote w:id="42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79.</w:t>
      </w:r>
    </w:p>
  </w:footnote>
  <w:footnote w:id="43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Fath al-bari, III, 43 (from Ibn Abi Shayba): 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...ma sallaytu l-duha mundhu aslamtu illa an atufa bi-l-bayti.</w:t>
      </w:r>
    </w:p>
  </w:footnote>
  <w:footnote w:id="44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Zad, 345, 349; Sutati, Hawi, 1, 65.</w:t>
      </w:r>
    </w:p>
  </w:footnote>
  <w:footnote w:id="45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Zad, 345, 349.</w:t>
      </w:r>
    </w:p>
  </w:footnote>
  <w:footnote w:id="46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Tirmidhi, II, 258; Zad, 340, 345; Suyuti, Hawi, I, 60.</w:t>
      </w:r>
    </w:p>
  </w:footnote>
  <w:footnote w:id="47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Zad, 346.</w:t>
      </w:r>
    </w:p>
  </w:footnote>
  <w:footnote w:id="48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78; Bukhari, II, 73; Muslim, II, 156-157; Abu Dawud, I, 297; Zad, 331, 344; Malik, I, 166-168.</w:t>
      </w:r>
    </w:p>
  </w:footnote>
  <w:footnote w:id="49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78; Malik, I, 168.</w:t>
      </w:r>
    </w:p>
  </w:footnote>
  <w:footnote w:id="50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‘Abd al-Razzaq, III, 78-79: ...wa-ma ahdatha l-nasu shay'an ahabba ilayya minha. 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See also Suyuti, Hawi, I, 73.</w:t>
      </w:r>
    </w:p>
  </w:footnote>
  <w:footnote w:id="51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Fath al-bari, III, 43: ...wa-ni'mat al-bid'a. See also Zad, 344.</w:t>
      </w:r>
    </w:p>
  </w:footnote>
  <w:footnote w:id="52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78.</w:t>
      </w:r>
    </w:p>
  </w:footnote>
  <w:footnote w:id="53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74; Bukhari, II, 73; Muslim, II, 158; Tirmidhi, III, 291-292; Zad, 336; Mundhirt, Targhib, II, 55.</w:t>
      </w:r>
    </w:p>
  </w:footnote>
  <w:footnote w:id="54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Muslim, II, 159; Zad, 336; Mundhirt, Targhib, II, 56.</w:t>
      </w:r>
    </w:p>
  </w:footnote>
  <w:footnote w:id="55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75. Cf. Mustadrak, I, 314; Zad, 333; Suyut, Hawi, I, 60.</w:t>
      </w:r>
    </w:p>
  </w:footnote>
  <w:footnote w:id="56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'Abd al-Razzaq, III, 74-75. See also Muslim, II, 157; Zad, 334; Suyutt, Hawi, I, 60.</w:t>
      </w:r>
    </w:p>
  </w:footnote>
  <w:footnote w:id="57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Zad, 334-335.</w:t>
      </w:r>
    </w:p>
  </w:footnote>
  <w:footnote w:id="58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74; Zad, 333-334.</w:t>
      </w:r>
    </w:p>
  </w:footnote>
  <w:footnote w:id="59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Zad, 334. See also Suyuti, Hawi, I, 60 (on the authority of Anas b. Malik).</w:t>
      </w:r>
    </w:p>
  </w:footnote>
  <w:footnote w:id="60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Suyuti, Khasa'is, III, 254; umirtu bi-rak'atayi l-duha wa-lam tu'maru biha... See also idem, Hawi, I, 62.</w:t>
      </w:r>
    </w:p>
  </w:footnote>
  <w:footnote w:id="61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Suyuti, Khasa'is, III, 254; Halabi, III, 296.</w:t>
      </w:r>
    </w:p>
  </w:footnote>
  <w:footnote w:id="62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Alusi, XXIII, 175.</w:t>
      </w:r>
    </w:p>
  </w:footnote>
  <w:footnote w:id="63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A.J. Wensinck, s.v. "</w:t>
      </w: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ṣalāt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" El' (quoting Ahmad).</w:t>
      </w:r>
    </w:p>
  </w:footnote>
  <w:footnote w:id="64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Muslim, II, 158; Abu Dawud, I, 295-296; Mundhirt, Targhib, II, 55,; Zad, 336-337.</w:t>
      </w:r>
    </w:p>
  </w:footnote>
  <w:footnote w:id="65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Mundhiri, Targhib, II, 58; Majma' al-zawa'id, II, 236; Suyuti, Hawi, I, 66.</w:t>
      </w:r>
    </w:p>
  </w:footnote>
  <w:footnote w:id="66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Tirmidhi, II, 259; Abu Dawud, I, 296; Mundhiri, Targhib, II, 57-58; Zad, 337; Majma' al-zawa'id, II, 235-236.</w:t>
      </w:r>
    </w:p>
  </w:footnote>
  <w:footnote w:id="67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Fath al-bari, III, 45.</w:t>
      </w:r>
    </w:p>
  </w:footnote>
  <w:footnote w:id="68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81. </w:t>
      </w:r>
    </w:p>
  </w:footnote>
  <w:footnote w:id="69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‘Abd al-Razzaq, III,75; Zad, 337; Fath al-bari, III, 44; Suyuti, Durr, V, 299; idem, Hawi, I, 62; Mundhiri, Targhib, II, 56.</w:t>
      </w:r>
    </w:p>
  </w:footnote>
  <w:footnote w:id="70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Mundhiri, Targhib, II, 58; Nuzhat al-majalis, I, 123; Fath al-bari, III, 44; Suyuti, Durr, V, 299; idem., Hawi, I, 69. 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For the discussion of this problem see further Zad, 341 ff.; Fath al-bari, III, 43-45; Nuzhat al-majalis, I, 123; Suyuti, Hawi, I, 71 ff.</w:t>
      </w:r>
    </w:p>
  </w:footnote>
  <w:footnote w:id="71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Nuzhat al-majalis, I, 122. See also Fath al-bari, III, 47: Neglecting this prayer causes blindness.</w:t>
      </w:r>
    </w:p>
  </w:footnote>
  <w:footnote w:id="72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Tirmidhi, II, 260; Mundhiti, Targhib, II, 56; Zad, 337, 352; Suyuti, Durr, V, 299; idem., Hawi, I, 70.</w:t>
      </w:r>
    </w:p>
  </w:footnote>
  <w:footnote w:id="73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Ibn al-Jawzi, 'Ilal, I, 472; Zad, 350.</w:t>
      </w:r>
    </w:p>
  </w:footnote>
  <w:footnote w:id="74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Ibn al-Jawzi, 'Ilal, I, 471-472; Zad, 339; Suyuti, Hawi, I, 63, 70; Nuzhat al-majalis, I, 122; Munhir, Targhib, II, 59; Majma' al-zawa'id, II, 239.</w:t>
      </w:r>
    </w:p>
  </w:footnote>
  <w:footnote w:id="75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Zad, 351.</w:t>
      </w:r>
    </w:p>
  </w:footnote>
  <w:footnote w:id="76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Abu Dawud, I, 296, 297; Mundhiri, Targhib, II, 57, I, 234 ff.; Nuzhat al-majalis, I, 123; Zad, 337, 340-341; Suyuti, Durr, V, 299; idem., Hawi, I, 63; Ibn Hibban, I, 176; Majma' al-zawa'id, II, 235.</w:t>
      </w:r>
    </w:p>
  </w:footnote>
  <w:footnote w:id="77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Mundhiri, Targhib, II, 56; Majma al-zawa'id, II, 235; Suyuti, Hawi, I, 65, 70.</w:t>
      </w:r>
    </w:p>
  </w:footnote>
  <w:footnote w:id="78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Mundhiri, Targhib, II, 58; Zad, 340. See further, Suyuti, Hawi, I, 63, 67.</w:t>
      </w:r>
    </w:p>
  </w:footnote>
  <w:footnote w:id="79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Suyuti, Durr, VI, 405: al muna'iq la yusalli l-duha wa-la yaqra'u "qul: ya ayyuha l-kakafiran". See also idem, Hawi, I, 65.</w:t>
      </w:r>
    </w:p>
  </w:footnote>
  <w:footnote w:id="80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See Muqatil, Tafsri 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al-khams mi'a aya mina l-Quran</w:t>
      </w:r>
      <w:r w:rsidRPr="002D47EB">
        <w:rPr>
          <w:rFonts w:ascii="Times New Roman" w:hAnsi="Times New Roman" w:cs="Times New Roman"/>
          <w:color w:val="0D0D0D" w:themeColor="text1" w:themeTint="F2"/>
        </w:rPr>
        <w:t>, MS Br, Lib, Or, 6333, fol. 9: ...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bi-l-'ashiyyi wa-l'ishraq: ya'n wa-hina iushriqu l-shamsu fi awwali l-nahar.</w:t>
      </w:r>
    </w:p>
  </w:footnote>
  <w:footnote w:id="81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Loc. cit.: qala Ibn 'Abbas: 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ma fatantu bi-fadli ṣalāti l-duha hatta ataytu 'ala hadhihi l-aya</w:t>
      </w:r>
      <w:r w:rsidRPr="002D47EB">
        <w:rPr>
          <w:rFonts w:ascii="Times New Roman" w:hAnsi="Times New Roman" w:cs="Times New Roman"/>
          <w:color w:val="0D0D0D" w:themeColor="text1" w:themeTint="F2"/>
        </w:rPr>
        <w:t>... And see also 'Abd al-Razzaq, III, 79; Suyuti, Durr, V, 298; idem, Hawi, I, 59; Qurtubi, XV, 160.</w:t>
      </w:r>
    </w:p>
  </w:footnote>
  <w:footnote w:id="82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Suyull, Durr, V, 298-299; Halabi, III, 93; Majma' al-zawa'id, II, 238.</w:t>
      </w:r>
    </w:p>
  </w:footnote>
  <w:footnote w:id="83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Qurtubi, XV, 159-160: Razi, XXVI, 186.</w:t>
      </w:r>
    </w:p>
  </w:footnote>
  <w:footnote w:id="84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Mustadrak, I, 314; Suyuti, Durr, V, 299; idem, Hawi, I, 59, 71; Qurtubi, XV, 160; Mundhiri, Targhib, II, 59.</w:t>
      </w:r>
    </w:p>
  </w:footnote>
  <w:footnote w:id="85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Suyuti, Durr, V, 52; idem, Hawi, 1,59; Razi, XXIV, 4.</w:t>
      </w:r>
    </w:p>
  </w:footnote>
  <w:footnote w:id="86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Fath al-Bari, III, 46 (from al-Hakim); Nuzhat al-majalis, I, 122; Suyufi, Hawi, I, 66.</w:t>
      </w:r>
    </w:p>
  </w:footnote>
  <w:footnote w:id="87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Fath al-Bari, III, 45; Suyuti, Hawi, I, 68.</w:t>
      </w:r>
    </w:p>
  </w:footnote>
  <w:footnote w:id="88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Nuzhat al-majalis, I, 122.</w:t>
      </w:r>
    </w:p>
  </w:footnote>
  <w:footnote w:id="89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Majma' al zawa'id, II, 226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: la tusalli hatta tartafra l-shamsu fa innaha tatlu'u fi qarnayi l-shaytan.</w:t>
      </w:r>
    </w:p>
  </w:footnote>
  <w:footnote w:id="90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Bukhari, II, 76-77.</w:t>
      </w:r>
    </w:p>
  </w:footnote>
  <w:footnote w:id="91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II, 430.</w:t>
      </w:r>
    </w:p>
  </w:footnote>
  <w:footnote w:id="92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Ibid., III, 80: 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ṣalāt</w:t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al-duha idha inqata'at al-zilal</w:t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See also Suyuti, Hawi, I, 65.</w:t>
      </w:r>
    </w:p>
  </w:footnote>
  <w:footnote w:id="93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69.</w:t>
      </w:r>
    </w:p>
  </w:footnote>
  <w:footnote w:id="94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Suyuti, Durr, V, 299: 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ṣalāt</w:t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al-awwabin idha ramidat al-fisal</w:t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See also idem, Hawi, I, 64; Zad, 338; 'Abd al-Razzaq, III, 69.</w:t>
      </w:r>
    </w:p>
  </w:footnote>
  <w:footnote w:id="95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Qurfubi, XV, 160. See also El' s.v. "</w:t>
      </w: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ṣalāt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" (A.J. Wensinck).</w:t>
      </w:r>
    </w:p>
  </w:footnote>
  <w:footnote w:id="96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Taf, s.v., "d.h.w.", </w:t>
      </w: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wa-minhu qawl 'Umar adha'ibada llahi bi-ṣalāti l-duha - ay salluha li-waqtiha wa-la tu'akhkhiruha ila irtifa'i l-duha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. See also Suyuti, Hawi, I, 67.</w:t>
      </w:r>
    </w:p>
  </w:footnote>
  <w:footnote w:id="97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I. Goldziher, "</w:t>
      </w: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Die Bedeutung der Nachmittagszeit im Islam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", Gesammelte Schriften, V, 27 ff., 30.</w:t>
      </w:r>
    </w:p>
  </w:footnote>
  <w:footnote w:id="98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262.</w:t>
      </w:r>
    </w:p>
  </w:footnote>
  <w:footnote w:id="99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Ibid., III, 265; Fath al-bari, II, 349; Suyutt, Durr, VI, 217.</w:t>
      </w:r>
    </w:p>
  </w:footnote>
  <w:footnote w:id="100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262.</w:t>
      </w:r>
    </w:p>
  </w:footnote>
  <w:footnote w:id="101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Ibid., III, 262. 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See also 265-266; Fath al-bari, II, 349.</w:t>
      </w:r>
    </w:p>
  </w:footnote>
  <w:footnote w:id="102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III, 264; Fath al-bari, II, 349.</w:t>
      </w:r>
    </w:p>
  </w:footnote>
  <w:footnote w:id="103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See M.J.Kirster and Menahem Kirster, "On the Jews of Arabia - some notes", Tarbiz, 48, 1979, p. 247, n. 70 (in Hebrew).</w:t>
      </w:r>
    </w:p>
  </w:footnote>
  <w:footnote w:id="104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'Abd al-Razzaq, II, 502-503. For other versions see ibid., 505, 506; Waqidi, II, 582; Tabari, Tafsir, V, 164; Suyuti, Durr, II, 211, 213, 214; Tahawi, Sharh, I, 318. And cf. also Goldziher, "Nachmittagszeit", 25.</w:t>
      </w:r>
    </w:p>
  </w:footnote>
  <w:footnote w:id="105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'Abd al-Razzaq, I, 580. See also Goldziher, "Nachmittagszeit", 26.</w:t>
      </w:r>
    </w:p>
  </w:footnote>
  <w:footnote w:id="106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Tabari, Tafsir; II, 351; Majma' al-zawa-id, I, 308; Goldziher, "Nachmittagszeit", 25-26.</w:t>
      </w:r>
    </w:p>
  </w:footnote>
  <w:footnote w:id="107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Bukhari, II, 145: man taraka 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ṣalāt</w:t>
      </w:r>
      <w:r w:rsidRPr="002D47EB">
        <w:rPr>
          <w:rFonts w:ascii="Times New Roman" w:hAnsi="Times New Roman" w:cs="Times New Roman"/>
          <w:color w:val="0D0D0D" w:themeColor="text1" w:themeTint="F2"/>
        </w:rPr>
        <w:t>a l-'asr fa qad habita'amaluhu (cf. Quran 5/5 etc.). See also Goldziher, "Nachmittagszeit", 25.</w:t>
      </w:r>
    </w:p>
  </w:footnote>
  <w:footnote w:id="108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I, 576: 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alladhi tafutuhu ṣalātu l-'asr fa-ka-annama wutira ahlahu wa-malahu</w:t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See also Bukhari, I, 145; Muslim, II, 111; Tahawi, Mushkil, II, 12, IV, 232-233; Fath al-bari, II, 24, Tabari, Tafsir, II, 351, Goldziher, "Nachmittagszeit", 25.</w:t>
      </w:r>
    </w:p>
  </w:footnote>
  <w:footnote w:id="109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E.g. Ibn Kathir, Bidaya, VI, 77-78, 281-282; Suyuti, Khasa'is, II, 324-325; Tahawi, Mushkil, II, 8 ff., IV, 388 ff.</w:t>
      </w:r>
    </w:p>
  </w:footnote>
  <w:footnote w:id="110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i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Suyutt, Durr, IV, 112 (from Ibn Abi Hatim): </w:t>
      </w: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... kana hadha qabla an tufrada l-ṣalātu.</w:t>
      </w:r>
    </w:p>
  </w:footnote>
  <w:footnote w:id="111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Suyuti, Durr, IV, 312, VI, 110.</w:t>
      </w:r>
    </w:p>
  </w:footnote>
  <w:footnote w:id="112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Tabari, Tafsir, XII, 77; Suyuti, Durr, III, 351.</w:t>
      </w:r>
    </w:p>
  </w:footnote>
  <w:footnote w:id="113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Suyuti, Durr, V, 352-353, (from 'Abd al-Razzaq). 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And see also Muqatil, II, 130</w:t>
      </w:r>
    </w:p>
  </w:footnote>
  <w:footnote w:id="114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Suyuti, Durr, III, 14, IV, 219-220. See also Abu 'Abdallah al-Ilbiri, Mukhtasar tafsir Yahya b. Salam, MS Br. Lib. ADD. 19490, fol. 82; Muqatil, I, 117, II, 8-8. See also Ibn Sayyid al-Nas, I, 91 (from Muqatil), Fath al-bari, I, 393, Halabi, I, 266, 264.</w:t>
      </w:r>
    </w:p>
  </w:footnote>
  <w:footnote w:id="115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Tabart, Tafste, XV, 93: ... 'an Abi Ja'far: "</w:t>
      </w: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ila ghasaqi l-layli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" qala: </w:t>
      </w: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ṣalāt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al-'asr.</w:t>
      </w:r>
    </w:p>
  </w:footnote>
  <w:footnote w:id="116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Some connect it with the miraculous isra to Jerusalem and the introduction of the five daily prayers which is said to have taken place during that event. </w:t>
      </w:r>
      <w:r w:rsidRPr="002D47EB">
        <w:rPr>
          <w:rFonts w:ascii="Times New Roman" w:hAnsi="Times New Roman" w:cs="Times New Roman"/>
          <w:color w:val="0D0D0D" w:themeColor="text1" w:themeTint="F2"/>
        </w:rPr>
        <w:t>See Halabi, I, 264.</w:t>
      </w:r>
    </w:p>
  </w:footnote>
  <w:footnote w:id="117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Ibn Khuzayma, I, 165; Bukhari, I, 145-146; Fath al-bari, II, 27 ff.; Muslim, II, 113.</w:t>
      </w:r>
    </w:p>
  </w:footnote>
  <w:footnote w:id="118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I, 579: ...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wasatat fa-kanat bayna l-layli wa-l-nahar</w:t>
      </w:r>
      <w:r w:rsidRPr="002D47EB">
        <w:rPr>
          <w:rFonts w:ascii="Times New Roman" w:hAnsi="Times New Roman" w:cs="Times New Roman"/>
          <w:color w:val="0D0D0D" w:themeColor="text1" w:themeTint="F2"/>
        </w:rPr>
        <w:t>. See also Suyuti, Durr, I, 301 (from 'Abd</w:t>
      </w:r>
      <w:r w:rsidR="008A038B" w:rsidRPr="002D47E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2D47EB">
        <w:rPr>
          <w:rFonts w:ascii="Times New Roman" w:hAnsi="Times New Roman" w:cs="Times New Roman"/>
          <w:color w:val="0D0D0D" w:themeColor="text1" w:themeTint="F2"/>
        </w:rPr>
        <w:t>al-Razzaq).</w:t>
      </w:r>
    </w:p>
  </w:footnote>
  <w:footnote w:id="119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Suyuti, Durr, I, 301 (from Ibn 'al-Barr). See also Razi, VI, 148 ff.; Tabari, II, 262,.</w:t>
      </w:r>
    </w:p>
  </w:footnote>
  <w:footnote w:id="120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Tabari, Tafsir, II, 345. See also Suyuti, Durr, I, 303; Tahawi, Sharh, I, 173.</w:t>
      </w:r>
    </w:p>
  </w:footnote>
  <w:footnote w:id="121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Tabari, Tafsir, II, 343-344. In other versions, a "waw" is inserted between "al-</w:t>
      </w: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ṣalāt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al wusta" and "</w:t>
      </w: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ṣalāt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al-'asr", which is designed to imply that the two prayers are not identical. See Tabari, Tafsir, II, 348. And see further, I. Goldziher, </w:t>
      </w: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Die Richtungen der islamischen Koranauslegung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, Leiden 1920, 14-15.</w:t>
      </w:r>
    </w:p>
  </w:footnote>
  <w:footnote w:id="122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Suyuti, Durr, I, 294; Tahawi, Mushkil, I, 440.</w:t>
      </w:r>
    </w:p>
  </w:footnote>
  <w:footnote w:id="123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Ibn Khuzayma, I, 164; Suyuti, Durr, IV, 312; Muslim, II, 114; Tabari, Tafsir, II, 351; Majma al-zawa'id, I, 318.</w:t>
      </w:r>
    </w:p>
  </w:footnote>
  <w:footnote w:id="124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Bukhari, I, 150. See also Fath al-bari, II, 43-44; Muslim, II, 114.</w:t>
      </w:r>
    </w:p>
  </w:footnote>
  <w:footnote w:id="125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Ibn Khuzayma, I, 172; 'Abd al-Razzaq, I, 549-550. Tahawi, Sharh, I, 192; Tirmidhi, I, 271; Malik, I, 221; Abu Dawud, I, 98; Muslim, II, 110.</w:t>
      </w:r>
    </w:p>
  </w:footnote>
  <w:footnote w:id="126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E.g. 'Abd al-Razzaq, I, 581, 582.</w:t>
      </w:r>
    </w:p>
  </w:footnote>
  <w:footnote w:id="127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Ibid., I, 572.</w:t>
      </w:r>
    </w:p>
  </w:footnote>
  <w:footnote w:id="128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Ibid., 1, 540, 569; Bukhari, I, 147, 148; Muslim, II, 119; Tirmidhi, I, 260-261.</w:t>
      </w:r>
    </w:p>
  </w:footnote>
  <w:footnote w:id="129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I, 571; Tahawi, Sharh, I, 176-177, Majma al-zawa'id, I, 317-318.</w:t>
      </w:r>
    </w:p>
  </w:footnote>
  <w:footnote w:id="130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Majma al-zawa'id, I, 316.</w:t>
      </w:r>
    </w:p>
  </w:footnote>
  <w:footnote w:id="131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Bukhari, I, 144;'Abd al-Razzaq, I, 549; Muslim, II, 109-110; Tahawi, Sharh, I, 190; Majma al-zawa'id, I, 307-308.</w:t>
      </w:r>
    </w:p>
  </w:footnote>
  <w:footnote w:id="132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I, 550: ... 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kana yu'akhkhiru l-'asra hatta tasfarra l-shamsu jiddan.</w:t>
      </w:r>
    </w:p>
  </w:footnote>
  <w:footnote w:id="133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Ibid., I, 551; Majma al-zawa'id, I, 307.</w:t>
      </w:r>
    </w:p>
  </w:footnote>
  <w:footnote w:id="134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I, 551.</w:t>
      </w:r>
    </w:p>
  </w:footnote>
  <w:footnote w:id="135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Tahawi, Sharh, I, 193.</w:t>
      </w:r>
    </w:p>
  </w:footnote>
  <w:footnote w:id="136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Tahawi, Mushkil, I, 439.</w:t>
      </w:r>
    </w:p>
  </w:footnote>
  <w:footnote w:id="137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Loc. cit.: 'an Abi Qilaba: 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innama summiyati l-'asra li-tu'sara</w:t>
      </w:r>
      <w:r w:rsidRPr="002D47EB">
        <w:rPr>
          <w:rFonts w:ascii="Times New Roman" w:hAnsi="Times New Roman" w:cs="Times New Roman"/>
          <w:color w:val="0D0D0D" w:themeColor="text1" w:themeTint="F2"/>
        </w:rPr>
        <w:t>. See also idem, Sharh, I, 194.</w:t>
      </w:r>
    </w:p>
  </w:footnote>
  <w:footnote w:id="138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Tirmidhi, I, 272: 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kana rasalu llahi (s) ashadda ta'jflan li-l-zuhri minkum, wa-antum ashaddu ta'jflan li-l-'asri minhu.</w:t>
      </w:r>
    </w:p>
  </w:footnote>
  <w:footnote w:id="139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I, 540: </w:t>
      </w:r>
      <w:r w:rsidRPr="002D47EB">
        <w:rPr>
          <w:rFonts w:ascii="Times New Roman" w:hAnsi="Times New Roman" w:cs="Times New Roman"/>
          <w:i/>
          <w:color w:val="0D0D0D" w:themeColor="text1" w:themeTint="F2"/>
        </w:rPr>
        <w:t>kana man qablakun ashadda ta'jflan li-l-zuhri wa-ashadda ta'khran li-l-'asri minkun</w:t>
      </w:r>
      <w:r w:rsidRPr="002D47EB">
        <w:rPr>
          <w:rFonts w:ascii="Times New Roman" w:hAnsi="Times New Roman" w:cs="Times New Roman"/>
          <w:color w:val="0D0D0D" w:themeColor="text1" w:themeTint="F2"/>
        </w:rPr>
        <w:t>. See also Tahawi, Sharh, I, 193.</w:t>
      </w:r>
    </w:p>
  </w:footnote>
  <w:footnote w:id="140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Ibn al Jawzi, 'Ilal, I, 389; Majma al-zawa'id, I, 307.</w:t>
      </w:r>
    </w:p>
  </w:footnote>
  <w:footnote w:id="141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Fath al-bari, II, 21.</w:t>
      </w:r>
    </w:p>
  </w:footnote>
  <w:footnote w:id="142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Ibid., II, 29.</w:t>
      </w:r>
    </w:p>
  </w:footnote>
  <w:footnote w:id="143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‘Abd al-Razzaq, I, 536, 570-571.</w:t>
      </w:r>
    </w:p>
  </w:footnote>
  <w:footnote w:id="144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Ibid., I, 569.</w:t>
      </w:r>
    </w:p>
  </w:footnote>
  <w:footnote w:id="145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Loc. cit.</w:t>
      </w:r>
    </w:p>
  </w:footnote>
  <w:footnote w:id="146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Ibid., I, 568, 573; Majma al-zawa'id, I, 315-316; Tirmidhi, I, 262; Fath al-bari, II, 45; Tahawi, Sharh, I, 178-179 (with further variants).</w:t>
      </w:r>
    </w:p>
  </w:footnote>
  <w:footnote w:id="147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'Abd al-Razzaq, I, 568.</w:t>
      </w:r>
    </w:p>
  </w:footnote>
  <w:footnote w:id="148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Ibid., III, 67.</w:t>
      </w:r>
    </w:p>
  </w:footnote>
  <w:footnote w:id="149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Majma al-zawa'id, II, 226.</w:t>
      </w:r>
    </w:p>
  </w:footnote>
  <w:footnote w:id="150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Ibid., II, 225. And see further, Bukhari, I, 152; Fakihi, 301.</w:t>
      </w:r>
    </w:p>
  </w:footnote>
  <w:footnote w:id="151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</w:rPr>
        <w:t xml:space="preserve"> E.g. Bukhari, I, 153; Majma al-zawa'id, II, 226, 227. 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And see further data, Fakihi, 301-301.</w:t>
      </w:r>
    </w:p>
  </w:footnote>
  <w:footnote w:id="152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Fakihi, 299. See also Azraqi, 266: Qira, 330.</w:t>
      </w:r>
    </w:p>
  </w:footnote>
  <w:footnote w:id="153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Majma al-zawa'id, II, 228. See further, Fakihi, 300; Qira 321.</w:t>
      </w:r>
    </w:p>
  </w:footnote>
  <w:footnote w:id="154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Fakihi, 300-301.</w:t>
      </w:r>
    </w:p>
  </w:footnote>
  <w:footnote w:id="155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E.g. Fakihi, 301: ...</w:t>
      </w: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fa-innahu rukhkhisa fi dhalika ha-huna ma lam yurakhkhas fi shay'in mina l-amsar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>. And see also the statement of Abu l'-Darda concerning the same matter</w:t>
      </w:r>
      <w:r w:rsidRPr="002D47EB">
        <w:rPr>
          <w:rFonts w:ascii="Times New Roman" w:hAnsi="Times New Roman" w:cs="Times New Roman"/>
          <w:i/>
          <w:color w:val="0D0D0D" w:themeColor="text1" w:themeTint="F2"/>
          <w:lang w:val="en-US"/>
        </w:rPr>
        <w:t>: inna hadha l-balad laysa ka-sa'iri l-buldan</w:t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(Fakihi, 300).</w:t>
      </w:r>
    </w:p>
  </w:footnote>
  <w:footnote w:id="156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See the detailed discussion, Fath al-bari, II, 48.</w:t>
      </w:r>
    </w:p>
  </w:footnote>
  <w:footnote w:id="157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Majma al-zawa'id, II, 222-223.</w:t>
      </w:r>
    </w:p>
  </w:footnote>
  <w:footnote w:id="158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Ibid., II, 223.</w:t>
      </w:r>
    </w:p>
  </w:footnote>
  <w:footnote w:id="159">
    <w:p w:rsidR="005112D2" w:rsidRPr="002D47EB" w:rsidRDefault="005112D2" w:rsidP="008A038B">
      <w:pPr>
        <w:pStyle w:val="FootnoteText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Loc. cit.</w:t>
      </w:r>
    </w:p>
  </w:footnote>
  <w:footnote w:id="160">
    <w:p w:rsidR="005112D2" w:rsidRPr="008A038B" w:rsidRDefault="005112D2" w:rsidP="008A038B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2D47EB">
        <w:rPr>
          <w:rStyle w:val="FootnoteReference"/>
          <w:rFonts w:ascii="Times New Roman" w:hAnsi="Times New Roman" w:cs="Times New Roman"/>
          <w:color w:val="0D0D0D" w:themeColor="text1" w:themeTint="F2"/>
        </w:rPr>
        <w:footnoteRef/>
      </w:r>
      <w:r w:rsidRPr="002D47EB">
        <w:rPr>
          <w:rFonts w:ascii="Times New Roman" w:hAnsi="Times New Roman" w:cs="Times New Roman"/>
          <w:color w:val="0D0D0D" w:themeColor="text1" w:themeTint="F2"/>
          <w:lang w:val="en-US"/>
        </w:rPr>
        <w:t xml:space="preserve"> Bukhari, I, 153-154.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5A7"/>
    <w:multiLevelType w:val="hybridMultilevel"/>
    <w:tmpl w:val="0968205E"/>
    <w:lvl w:ilvl="0" w:tplc="1618E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73716"/>
    <w:multiLevelType w:val="hybridMultilevel"/>
    <w:tmpl w:val="2D662002"/>
    <w:lvl w:ilvl="0" w:tplc="39B67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B6C"/>
    <w:rsid w:val="00007536"/>
    <w:rsid w:val="00036344"/>
    <w:rsid w:val="00051421"/>
    <w:rsid w:val="000578C9"/>
    <w:rsid w:val="000766D9"/>
    <w:rsid w:val="0018702B"/>
    <w:rsid w:val="00207C7D"/>
    <w:rsid w:val="002247EF"/>
    <w:rsid w:val="00261291"/>
    <w:rsid w:val="002C3580"/>
    <w:rsid w:val="002D0EB5"/>
    <w:rsid w:val="002D47EB"/>
    <w:rsid w:val="002D514B"/>
    <w:rsid w:val="002F0E46"/>
    <w:rsid w:val="0032733D"/>
    <w:rsid w:val="00342E7E"/>
    <w:rsid w:val="0039075D"/>
    <w:rsid w:val="003C7FCB"/>
    <w:rsid w:val="003D70B4"/>
    <w:rsid w:val="003E5B9A"/>
    <w:rsid w:val="00432F9B"/>
    <w:rsid w:val="00450B77"/>
    <w:rsid w:val="0045346A"/>
    <w:rsid w:val="00464F77"/>
    <w:rsid w:val="004A6C12"/>
    <w:rsid w:val="005112D2"/>
    <w:rsid w:val="00552CEE"/>
    <w:rsid w:val="0063538E"/>
    <w:rsid w:val="00686490"/>
    <w:rsid w:val="00746346"/>
    <w:rsid w:val="007D691D"/>
    <w:rsid w:val="007D6D37"/>
    <w:rsid w:val="007D76A4"/>
    <w:rsid w:val="00806EE9"/>
    <w:rsid w:val="00810B32"/>
    <w:rsid w:val="008334CB"/>
    <w:rsid w:val="008820F3"/>
    <w:rsid w:val="00887151"/>
    <w:rsid w:val="008A038B"/>
    <w:rsid w:val="008F750E"/>
    <w:rsid w:val="009857B2"/>
    <w:rsid w:val="009E4656"/>
    <w:rsid w:val="00A60A27"/>
    <w:rsid w:val="00A7651A"/>
    <w:rsid w:val="00A91C0B"/>
    <w:rsid w:val="00AA6806"/>
    <w:rsid w:val="00AE38AA"/>
    <w:rsid w:val="00B00F7C"/>
    <w:rsid w:val="00BB1330"/>
    <w:rsid w:val="00BB1434"/>
    <w:rsid w:val="00C53C52"/>
    <w:rsid w:val="00C80B96"/>
    <w:rsid w:val="00D20B6C"/>
    <w:rsid w:val="00D47BC2"/>
    <w:rsid w:val="00D55B24"/>
    <w:rsid w:val="00D76BD3"/>
    <w:rsid w:val="00DC31F1"/>
    <w:rsid w:val="00DE02D1"/>
    <w:rsid w:val="00DF22A8"/>
    <w:rsid w:val="00E05C88"/>
    <w:rsid w:val="00E33F5A"/>
    <w:rsid w:val="00EB3DAB"/>
    <w:rsid w:val="00F4121B"/>
    <w:rsid w:val="00FD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0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B6C"/>
    <w:rPr>
      <w:vertAlign w:val="superscript"/>
    </w:rPr>
  </w:style>
  <w:style w:type="paragraph" w:styleId="ListParagraph">
    <w:name w:val="List Paragraph"/>
    <w:basedOn w:val="Normal"/>
    <w:uiPriority w:val="34"/>
    <w:qFormat/>
    <w:rsid w:val="00887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40E9-3E57-4264-9C39-858FA4BA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</Pages>
  <Words>6554</Words>
  <Characters>37364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Gargamello</dc:creator>
  <cp:lastModifiedBy>Acer</cp:lastModifiedBy>
  <cp:revision>20</cp:revision>
  <dcterms:created xsi:type="dcterms:W3CDTF">2011-03-31T20:09:00Z</dcterms:created>
  <dcterms:modified xsi:type="dcterms:W3CDTF">2011-04-01T17:59:00Z</dcterms:modified>
</cp:coreProperties>
</file>